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717C" w14:textId="35D2ABF6" w:rsidR="004762FE" w:rsidRDefault="004762FE" w:rsidP="003E5C36">
      <w:pPr>
        <w:pStyle w:val="FiBLmmzwischentitel"/>
        <w:sectPr w:rsidR="004762FE" w:rsidSect="001B31D5">
          <w:headerReference w:type="default" r:id="rId11"/>
          <w:footerReference w:type="default" r:id="rId12"/>
          <w:type w:val="continuous"/>
          <w:pgSz w:w="11906" w:h="16838"/>
          <w:pgMar w:top="2268" w:right="1701" w:bottom="1701" w:left="1701" w:header="1134" w:footer="567" w:gutter="0"/>
          <w:cols w:space="708"/>
          <w:docGrid w:linePitch="360"/>
        </w:sectPr>
      </w:pPr>
      <w:r>
        <w:t xml:space="preserve">Medienmitteilung </w:t>
      </w:r>
      <w:r w:rsidR="003E5C36">
        <w:t xml:space="preserve"> </w:t>
      </w:r>
    </w:p>
    <w:p w14:paraId="05450B42" w14:textId="75C80218" w:rsidR="00520F8A" w:rsidRDefault="00520F8A" w:rsidP="00520F8A">
      <w:pPr>
        <w:pStyle w:val="FiBLmmtitel"/>
      </w:pPr>
      <w:r>
        <w:t xml:space="preserve">FiBL Faktenblatt «Kuh und Klima»: </w:t>
      </w:r>
      <w:r>
        <w:br/>
      </w:r>
      <w:r w:rsidR="008A7E74">
        <w:t xml:space="preserve">Kein </w:t>
      </w:r>
      <w:r w:rsidR="00EF5880">
        <w:t>Widerspruch,</w:t>
      </w:r>
      <w:r w:rsidR="008A7E74">
        <w:t xml:space="preserve"> sondern Potenzial</w:t>
      </w:r>
    </w:p>
    <w:p w14:paraId="3D5FDC24" w14:textId="5163F690" w:rsidR="00520F8A" w:rsidRDefault="00520F8A" w:rsidP="00520F8A">
      <w:pPr>
        <w:pStyle w:val="FiBLmmlead"/>
      </w:pPr>
      <w:r w:rsidRPr="00183C6F">
        <w:t>Methan steht im Fokus, doch nachhaltige Landwirtschaft denkt weiter. Die biologische Weidehaltung verbindet Klimaschutz, Ernährungssicherheit und Ressourcennutzung zu einem stimmigen Ganzen. Das neue Faktenblatt</w:t>
      </w:r>
      <w:r w:rsidR="008F4303">
        <w:t xml:space="preserve"> </w:t>
      </w:r>
      <w:r w:rsidR="00AD7C89">
        <w:t>des Forschungsinstituts für biologischen Landbau</w:t>
      </w:r>
      <w:r w:rsidR="008F4303">
        <w:t xml:space="preserve"> FiBL und Bio Suisse</w:t>
      </w:r>
      <w:r w:rsidRPr="00183C6F">
        <w:t xml:space="preserve"> zeigt, wie Wiederkäuer sinnvoll ins System passen.</w:t>
      </w:r>
    </w:p>
    <w:p w14:paraId="5105F7FE" w14:textId="77777777" w:rsidR="00425269" w:rsidRPr="00520F8A" w:rsidRDefault="00425269" w:rsidP="00425269">
      <w:pPr>
        <w:pStyle w:val="FiBLmmtitel"/>
        <w:tabs>
          <w:tab w:val="left" w:pos="2220"/>
          <w:tab w:val="center" w:pos="4252"/>
        </w:tabs>
      </w:pPr>
      <w:r w:rsidRPr="00520F8A">
        <w:tab/>
      </w:r>
    </w:p>
    <w:p w14:paraId="578FEFA4" w14:textId="0863763B" w:rsidR="00425269" w:rsidRPr="00520F8A" w:rsidRDefault="00F01A89" w:rsidP="00425269">
      <w:pPr>
        <w:pStyle w:val="FiBLmmtitel"/>
        <w:tabs>
          <w:tab w:val="left" w:pos="2220"/>
          <w:tab w:val="center" w:pos="4252"/>
        </w:tabs>
      </w:pPr>
      <w:r>
        <w:rPr>
          <w:noProof/>
        </w:rPr>
        <w:drawing>
          <wp:inline distT="0" distB="0" distL="0" distR="0" wp14:anchorId="6ABB5F8B" wp14:editId="6EB64429">
            <wp:extent cx="3108960" cy="4396195"/>
            <wp:effectExtent l="0" t="0" r="0" b="4445"/>
            <wp:docPr id="9126890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89016" name="Grafik 9126890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4626" cy="4418347"/>
                    </a:xfrm>
                    <a:prstGeom prst="rect">
                      <a:avLst/>
                    </a:prstGeom>
                  </pic:spPr>
                </pic:pic>
              </a:graphicData>
            </a:graphic>
          </wp:inline>
        </w:drawing>
      </w:r>
    </w:p>
    <w:p w14:paraId="561FCAE8" w14:textId="2979D765" w:rsidR="00425269" w:rsidRPr="00520F8A" w:rsidRDefault="00425269" w:rsidP="00425269">
      <w:pPr>
        <w:pStyle w:val="FiBLmmtitel"/>
        <w:tabs>
          <w:tab w:val="left" w:pos="2220"/>
          <w:tab w:val="center" w:pos="4252"/>
        </w:tabs>
      </w:pPr>
      <w:r w:rsidRPr="00520F8A">
        <w:tab/>
      </w:r>
    </w:p>
    <w:p w14:paraId="4100CF23" w14:textId="72304B20" w:rsidR="00425269" w:rsidRPr="00520F8A" w:rsidRDefault="00425269" w:rsidP="00425269">
      <w:pPr>
        <w:pStyle w:val="FiBLmmtitel"/>
        <w:jc w:val="center"/>
      </w:pPr>
    </w:p>
    <w:p w14:paraId="5A1F9D21" w14:textId="77777777" w:rsidR="00425269" w:rsidRPr="00520F8A" w:rsidRDefault="00425269" w:rsidP="009C0B90">
      <w:pPr>
        <w:pStyle w:val="FiBLmmstandard"/>
        <w:rPr>
          <w:highlight w:val="yellow"/>
        </w:rPr>
      </w:pPr>
    </w:p>
    <w:p w14:paraId="466AE422" w14:textId="68B54497" w:rsidR="00520F8A" w:rsidRDefault="00A83E49" w:rsidP="00520F8A">
      <w:pPr>
        <w:pStyle w:val="FiBLmmstandard"/>
        <w:rPr>
          <w:b/>
        </w:rPr>
      </w:pPr>
      <w:r>
        <w:t xml:space="preserve">(Frick, 03.10.2025) </w:t>
      </w:r>
      <w:r w:rsidR="00520F8A" w:rsidRPr="00183C6F">
        <w:t xml:space="preserve">Wiederkäuer wie Kühe, Schafe und Ziegen stehen wegen ihrer Methanemissionen zunehmend unter Druck. </w:t>
      </w:r>
      <w:r w:rsidR="00EF5880" w:rsidRPr="00EF5880">
        <w:t>Dabei sind ihre positiven Beiträge im Ernährungssystem vielfältig: Auf Grasland gehalten, sichern sie die</w:t>
      </w:r>
      <w:r w:rsidR="00520F8A" w:rsidRPr="00183C6F">
        <w:t xml:space="preserve"> </w:t>
      </w:r>
      <w:r w:rsidR="00EF5880">
        <w:t xml:space="preserve">menschliche </w:t>
      </w:r>
      <w:r w:rsidR="00520F8A" w:rsidRPr="00183C6F">
        <w:t>Versorgung mit hochwertigem Protein</w:t>
      </w:r>
      <w:r w:rsidR="00932449">
        <w:t>. Sie nutzen dabei</w:t>
      </w:r>
      <w:r w:rsidR="00520F8A" w:rsidRPr="00183C6F">
        <w:t xml:space="preserve"> Pflanzenmasse, die wir Menschen nicht direkt verwerten können. Gleichzeitig erhalten sie Kulturlandschaften, fördern Biodiversität und stabilisieren Nährstoffkreisläufe.</w:t>
      </w:r>
    </w:p>
    <w:p w14:paraId="24E17481" w14:textId="77777777" w:rsidR="00520F8A" w:rsidRDefault="00520F8A" w:rsidP="00520F8A">
      <w:pPr>
        <w:pStyle w:val="FiBLmmzwischentitel"/>
      </w:pPr>
      <w:r>
        <w:t xml:space="preserve">Grasland sinnvoll </w:t>
      </w:r>
      <w:r w:rsidRPr="00520F8A">
        <w:t>nutzen</w:t>
      </w:r>
      <w:r>
        <w:t xml:space="preserve"> statt stilllegen</w:t>
      </w:r>
    </w:p>
    <w:p w14:paraId="2F1B6CEC" w14:textId="0CE9487B" w:rsidR="00A4195C" w:rsidRDefault="00EF5880" w:rsidP="00520F8A">
      <w:pPr>
        <w:pStyle w:val="FiBLmmzusatzinfo"/>
        <w:rPr>
          <w:rFonts w:ascii="Palatino Linotype" w:hAnsi="Palatino Linotype"/>
          <w:b w:val="0"/>
        </w:rPr>
      </w:pPr>
      <w:r w:rsidRPr="00EF5880">
        <w:rPr>
          <w:rFonts w:ascii="Palatino Linotype" w:hAnsi="Palatino Linotype"/>
          <w:b w:val="0"/>
        </w:rPr>
        <w:t>Dauergrünland speichert bei sorgsamer Bewirtschaftung Kohlenstoff und kann so zur Klimaschutzfläche werden. In der Schweiz machen Wiesen und Weiden</w:t>
      </w:r>
      <w:r>
        <w:rPr>
          <w:rFonts w:ascii="Palatino Linotype" w:hAnsi="Palatino Linotype"/>
          <w:b w:val="0"/>
        </w:rPr>
        <w:t xml:space="preserve"> </w:t>
      </w:r>
      <w:r w:rsidR="00520F8A" w:rsidRPr="00520F8A">
        <w:rPr>
          <w:rFonts w:ascii="Palatino Linotype" w:hAnsi="Palatino Linotype"/>
          <w:b w:val="0"/>
        </w:rPr>
        <w:t>rund 70</w:t>
      </w:r>
      <w:r w:rsidR="00520F8A" w:rsidRPr="00520F8A">
        <w:rPr>
          <w:rFonts w:ascii="Times New Roman" w:hAnsi="Times New Roman" w:cs="Times New Roman"/>
          <w:b w:val="0"/>
        </w:rPr>
        <w:t> </w:t>
      </w:r>
      <w:r w:rsidR="00520F8A" w:rsidRPr="00520F8A">
        <w:rPr>
          <w:rFonts w:ascii="Palatino Linotype" w:hAnsi="Palatino Linotype"/>
          <w:b w:val="0"/>
        </w:rPr>
        <w:t>% der landwirtschaftlichen Nutzfl</w:t>
      </w:r>
      <w:r w:rsidR="00520F8A" w:rsidRPr="00520F8A">
        <w:rPr>
          <w:rFonts w:ascii="Palatino Linotype" w:hAnsi="Palatino Linotype" w:cs="Palatino Linotype"/>
          <w:b w:val="0"/>
        </w:rPr>
        <w:t>ä</w:t>
      </w:r>
      <w:r w:rsidR="00520F8A" w:rsidRPr="00520F8A">
        <w:rPr>
          <w:rFonts w:ascii="Palatino Linotype" w:hAnsi="Palatino Linotype"/>
          <w:b w:val="0"/>
        </w:rPr>
        <w:t>che aus. Viele dieser Fl</w:t>
      </w:r>
      <w:r w:rsidR="00520F8A" w:rsidRPr="00520F8A">
        <w:rPr>
          <w:rFonts w:ascii="Palatino Linotype" w:hAnsi="Palatino Linotype" w:cs="Palatino Linotype"/>
          <w:b w:val="0"/>
        </w:rPr>
        <w:t>ä</w:t>
      </w:r>
      <w:r w:rsidR="00520F8A" w:rsidRPr="00520F8A">
        <w:rPr>
          <w:rFonts w:ascii="Palatino Linotype" w:hAnsi="Palatino Linotype"/>
          <w:b w:val="0"/>
        </w:rPr>
        <w:t>chen sind f</w:t>
      </w:r>
      <w:r w:rsidR="00520F8A" w:rsidRPr="00520F8A">
        <w:rPr>
          <w:rFonts w:ascii="Palatino Linotype" w:hAnsi="Palatino Linotype" w:cs="Palatino Linotype"/>
          <w:b w:val="0"/>
        </w:rPr>
        <w:t>ü</w:t>
      </w:r>
      <w:r w:rsidR="00520F8A" w:rsidRPr="00520F8A">
        <w:rPr>
          <w:rFonts w:ascii="Palatino Linotype" w:hAnsi="Palatino Linotype"/>
          <w:b w:val="0"/>
        </w:rPr>
        <w:t>r den Ackerbau ungeeignet, bieten aber eine wertvolle Basis f</w:t>
      </w:r>
      <w:r w:rsidR="00520F8A" w:rsidRPr="00520F8A">
        <w:rPr>
          <w:rFonts w:ascii="Palatino Linotype" w:hAnsi="Palatino Linotype" w:cs="Palatino Linotype"/>
          <w:b w:val="0"/>
        </w:rPr>
        <w:t>ü</w:t>
      </w:r>
      <w:r w:rsidR="00520F8A" w:rsidRPr="00520F8A">
        <w:rPr>
          <w:rFonts w:ascii="Palatino Linotype" w:hAnsi="Palatino Linotype"/>
          <w:b w:val="0"/>
        </w:rPr>
        <w:t xml:space="preserve">r die nachhaltige Produktion von Milch und Fleisch. </w:t>
      </w:r>
    </w:p>
    <w:p w14:paraId="6374752F" w14:textId="77777777" w:rsidR="00A4195C" w:rsidRPr="00A4195C" w:rsidRDefault="00A4195C" w:rsidP="00A4195C">
      <w:pPr>
        <w:pStyle w:val="FiBLmmstandard"/>
      </w:pPr>
    </w:p>
    <w:p w14:paraId="2827AAEF" w14:textId="77777777" w:rsidR="00602090" w:rsidRDefault="00A4195C" w:rsidP="00A4195C">
      <w:pPr>
        <w:pStyle w:val="FiBLmmseitennummer"/>
      </w:pPr>
      <w:r>
        <w:rPr>
          <w:b/>
          <w:noProof/>
        </w:rPr>
        <w:drawing>
          <wp:inline distT="0" distB="0" distL="0" distR="0" wp14:anchorId="6F92EE02" wp14:editId="512CD08B">
            <wp:extent cx="5401310" cy="3317240"/>
            <wp:effectExtent l="0" t="0" r="8890" b="0"/>
            <wp:docPr id="199505658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1310" cy="3317240"/>
                    </a:xfrm>
                    <a:prstGeom prst="rect">
                      <a:avLst/>
                    </a:prstGeom>
                    <a:noFill/>
                    <a:ln>
                      <a:noFill/>
                    </a:ln>
                  </pic:spPr>
                </pic:pic>
              </a:graphicData>
            </a:graphic>
          </wp:inline>
        </w:drawing>
      </w:r>
    </w:p>
    <w:p w14:paraId="565B399B" w14:textId="77777777" w:rsidR="00602090" w:rsidRDefault="00602090" w:rsidP="00A4195C">
      <w:pPr>
        <w:pStyle w:val="FiBLmmseitennummer"/>
      </w:pPr>
    </w:p>
    <w:p w14:paraId="712C6C64" w14:textId="14D54F98" w:rsidR="00520F8A" w:rsidRDefault="00520F8A" w:rsidP="00A4195C">
      <w:pPr>
        <w:pStyle w:val="FiBLmmseitennummer"/>
      </w:pPr>
      <w:r w:rsidRPr="00520F8A">
        <w:t>Wiederkäuer wandeln auf Grasland für Menschen schwer verdauliches Pflanzenprotein in hochwertiges tierisches Protein um.</w:t>
      </w:r>
      <w:r w:rsidR="00A4195C" w:rsidRPr="00A4195C">
        <w:t xml:space="preserve"> (Abbildung: FiBL)</w:t>
      </w:r>
    </w:p>
    <w:p w14:paraId="323C5F9D" w14:textId="77777777" w:rsidR="00A4195C" w:rsidRDefault="00A4195C" w:rsidP="00A4195C">
      <w:pPr>
        <w:pStyle w:val="FiBLmmseitennummer"/>
        <w:rPr>
          <w:b/>
        </w:rPr>
      </w:pPr>
    </w:p>
    <w:p w14:paraId="52AF458F" w14:textId="77777777" w:rsidR="00520F8A" w:rsidRDefault="00520F8A" w:rsidP="00520F8A">
      <w:pPr>
        <w:pStyle w:val="FiBLmmzwischentitel"/>
      </w:pPr>
      <w:r>
        <w:lastRenderedPageBreak/>
        <w:t xml:space="preserve">Methan </w:t>
      </w:r>
      <w:r w:rsidRPr="001325E4">
        <w:t>differenziert</w:t>
      </w:r>
      <w:r>
        <w:t xml:space="preserve"> betrachten</w:t>
      </w:r>
    </w:p>
    <w:p w14:paraId="290C5019" w14:textId="63CFA1C8" w:rsidR="00520F8A" w:rsidRDefault="00520F8A" w:rsidP="00520F8A">
      <w:pPr>
        <w:pStyle w:val="FiBLmmstandard"/>
        <w:rPr>
          <w:b/>
        </w:rPr>
      </w:pPr>
      <w:r w:rsidRPr="009B62A6">
        <w:t xml:space="preserve">Methan ist ein stark wirksames Klimagas, wirkt jedoch anders als CO₂: Ein Grossteil ist nach etwa 20 Jahren in der Atmosphäre zu CO₂ abgebaut, entfaltet in dieser Zeit aber eine rund 80-fach stärkere Wirkung. </w:t>
      </w:r>
      <w:r w:rsidR="00932449">
        <w:t xml:space="preserve">Das Problem: Es wird in den letzten Jahrzehnten mehr Methan in die Atmosphäre emittiert, als </w:t>
      </w:r>
      <w:r w:rsidR="0059595F">
        <w:t>abgebaut werden kann.</w:t>
      </w:r>
      <w:r w:rsidR="00932449">
        <w:t xml:space="preserve"> </w:t>
      </w:r>
      <w:r w:rsidR="0059595F">
        <w:t>Deshalb trägt Methan zur exponentiell steigenden Erderwärmung bei</w:t>
      </w:r>
      <w:r w:rsidRPr="009B62A6">
        <w:t>.</w:t>
      </w:r>
      <w:r>
        <w:t xml:space="preserve"> </w:t>
      </w:r>
      <w:r w:rsidRPr="009B62A6">
        <w:t>Dennoch wäre es nicht zielführend, die Rinderhaltung grundsätzlich infrage zu stellen. Denn Wiederkäuer übernehmen im Ernährungssystem und in Ökosystemen zentrale Aufgaben, die gerade unter Nachhaltigkeitsaspekten eine bedeutende Rolle spielen.</w:t>
      </w:r>
      <w:r w:rsidR="0059595F">
        <w:t xml:space="preserve"> Vielmehr müssen </w:t>
      </w:r>
      <w:r w:rsidR="00EF5880">
        <w:t>Methan- und CO</w:t>
      </w:r>
      <w:r w:rsidR="00EF5880" w:rsidRPr="00EF5880">
        <w:rPr>
          <w:vertAlign w:val="subscript"/>
        </w:rPr>
        <w:t>2</w:t>
      </w:r>
      <w:r w:rsidR="00EF5880">
        <w:t>-</w:t>
      </w:r>
      <w:r w:rsidR="0059595F">
        <w:t>Emissionen im Energiesektor eingespart werden.</w:t>
      </w:r>
    </w:p>
    <w:p w14:paraId="58699E0E" w14:textId="77777777" w:rsidR="00520F8A" w:rsidRDefault="00520F8A" w:rsidP="00520F8A">
      <w:pPr>
        <w:pStyle w:val="FiBLmmzwischentitel"/>
      </w:pPr>
      <w:r w:rsidRPr="005361D1">
        <w:t>Klimaschonende Fleischproduktion aus der Milchviehhaltung stärken</w:t>
      </w:r>
    </w:p>
    <w:p w14:paraId="66E16A28" w14:textId="40EE3662" w:rsidR="00520F8A" w:rsidRPr="009B62A6" w:rsidRDefault="00520F8A" w:rsidP="00520F8A">
      <w:pPr>
        <w:pStyle w:val="FiBLmmstandard"/>
      </w:pPr>
      <w:r w:rsidRPr="009B62A6">
        <w:t xml:space="preserve">Hohe Einzeltierleistungen durch Kraftfuttereinsatz senken zwar die Emissionen pro </w:t>
      </w:r>
      <w:r w:rsidR="00EF5880" w:rsidRPr="00EF5880">
        <w:t>Liter Milch, verstärken aber den Druck auf die Ackerflächen, erhöhen den Verbrauch an fossilen Brennstoffen und können die Tiergesundheit beeinträchtigen. Das Prinzip der graslandbasierten, biologischen Landwirtschaft zeigt einen nachhaltigen Weg auf:</w:t>
      </w:r>
      <w:r w:rsidR="00EF5880">
        <w:t xml:space="preserve"> </w:t>
      </w:r>
      <w:r w:rsidRPr="009B62A6">
        <w:t xml:space="preserve">Entscheidend ist nicht die Maximalleistung, sondern die standortangepasste Fütterung und der effiziente Einsatz lokaler </w:t>
      </w:r>
      <w:r w:rsidR="00F852C0">
        <w:t xml:space="preserve">rindviehgerechter </w:t>
      </w:r>
      <w:r w:rsidRPr="009B62A6">
        <w:t>Ressourcen.</w:t>
      </w:r>
      <w:r>
        <w:t xml:space="preserve"> </w:t>
      </w:r>
      <w:r w:rsidRPr="009B62A6">
        <w:t xml:space="preserve">Auch Zuchtstrategien mit Zweinutzungsrassen und längeren Nutzungsdauern verbessern die Klimabilanz. So </w:t>
      </w:r>
      <w:r w:rsidR="00F852C0" w:rsidRPr="009B62A6">
        <w:t>l</w:t>
      </w:r>
      <w:r w:rsidR="00F852C0">
        <w:t>ie</w:t>
      </w:r>
      <w:r w:rsidR="00F852C0" w:rsidRPr="009B62A6">
        <w:t xml:space="preserve">ssen </w:t>
      </w:r>
      <w:r w:rsidRPr="009B62A6">
        <w:t>sich die Treibhausgasemissionen der gesamten Rinderpopulation um rund 10</w:t>
      </w:r>
      <w:r w:rsidRPr="009B62A6">
        <w:rPr>
          <w:rFonts w:ascii="Times New Roman" w:hAnsi="Times New Roman" w:cs="Times New Roman"/>
        </w:rPr>
        <w:t> </w:t>
      </w:r>
      <w:r w:rsidRPr="009B62A6">
        <w:t xml:space="preserve">% senken, </w:t>
      </w:r>
      <w:r w:rsidR="00EF5880" w:rsidRPr="00EF5880">
        <w:t>wenn Milchkühe länger leben</w:t>
      </w:r>
      <w:r w:rsidR="00F852C0">
        <w:t xml:space="preserve"> würden</w:t>
      </w:r>
      <w:r w:rsidR="00EF5880" w:rsidRPr="00EF5880">
        <w:t xml:space="preserve">, dadurch weniger Nachzuchttiere benötigt </w:t>
      </w:r>
      <w:r w:rsidR="00F852C0" w:rsidRPr="00EF5880">
        <w:t>w</w:t>
      </w:r>
      <w:r w:rsidR="00F852C0">
        <w:t>ü</w:t>
      </w:r>
      <w:r w:rsidR="00F852C0" w:rsidRPr="00EF5880">
        <w:t xml:space="preserve">rden </w:t>
      </w:r>
      <w:r w:rsidR="00EF5880" w:rsidRPr="00EF5880">
        <w:t xml:space="preserve">und mehr Kälber aus Milchvieh-Gebrauchskreuzungen für die Weidemast zur Verfügung </w:t>
      </w:r>
      <w:r w:rsidR="00F852C0" w:rsidRPr="00EF5880">
        <w:t>st</w:t>
      </w:r>
      <w:r w:rsidR="00F852C0">
        <w:t>ünden</w:t>
      </w:r>
      <w:r w:rsidR="00EF5880" w:rsidRPr="00EF5880">
        <w:t>. Die Fleischproduktion bliebe gleich hoch wie jetzt, bei sinkender Zahl an Mutterkühen.</w:t>
      </w:r>
    </w:p>
    <w:p w14:paraId="70B27006" w14:textId="77777777" w:rsidR="00520F8A" w:rsidRPr="00CE1394" w:rsidRDefault="00520F8A" w:rsidP="00520F8A">
      <w:pPr>
        <w:pStyle w:val="FiBLmmzwischentitel"/>
        <w:rPr>
          <w:rFonts w:ascii="Palatino Linotype" w:hAnsi="Palatino Linotype"/>
        </w:rPr>
      </w:pPr>
      <w:r>
        <w:t>Kreislaufwirtschaft als Leitbild</w:t>
      </w:r>
    </w:p>
    <w:p w14:paraId="08807AD0" w14:textId="549AD3A4" w:rsidR="00520F8A" w:rsidRDefault="00520F8A" w:rsidP="00520F8A">
      <w:pPr>
        <w:pStyle w:val="FiBLmmstandard"/>
        <w:rPr>
          <w:b/>
        </w:rPr>
      </w:pPr>
      <w:r>
        <w:t>Graslandbasierte Wiederkäuerhaltung</w:t>
      </w:r>
      <w:r w:rsidRPr="009B62A6">
        <w:t xml:space="preserve"> </w:t>
      </w:r>
      <w:r w:rsidR="00EF5880" w:rsidRPr="00EF5880">
        <w:t>steht nicht im Widerspruch zum Klimaschutz, sondern denkt darüber hinaus</w:t>
      </w:r>
      <w:r w:rsidRPr="009B62A6">
        <w:t>. Sie orientiert sich am Standort, setzt auf lokale Futterressourcen und reduziert so Importe, Nährstoffverluste und Umweltbelastungen.</w:t>
      </w:r>
      <w:r>
        <w:rPr>
          <w:b/>
        </w:rPr>
        <w:t xml:space="preserve"> </w:t>
      </w:r>
      <w:r w:rsidRPr="009B62A6">
        <w:t xml:space="preserve">Indem Tierzahlen und Fütterung an die vorhandenen Flächen angepasst werden, entstehen hochwertige Proteine ohne </w:t>
      </w:r>
      <w:r w:rsidR="008F4303">
        <w:t>Nahrungsmittel- und Flächen</w:t>
      </w:r>
      <w:r w:rsidR="008F4303" w:rsidRPr="009B62A6">
        <w:t xml:space="preserve">konkurrenz </w:t>
      </w:r>
      <w:r w:rsidRPr="009B62A6">
        <w:t>– aus einer Ressource, die Menschen nicht direkt nutzen können.</w:t>
      </w:r>
      <w:r>
        <w:rPr>
          <w:b/>
        </w:rPr>
        <w:t xml:space="preserve"> </w:t>
      </w:r>
      <w:r w:rsidRPr="009B62A6">
        <w:t>Gleichzeitig schützt die Weidewirtschaft Böden, Wasser und Biodiversität, erhält Kulturlandschaften und sichert die regionale Ernährung. Rinderhaltung liefert in diesem System weit mehr als Fleisch und Milch: Sie erbringt vielfältige Ökosystemleistungen, die für eine zukunftsfähige Landwirtschaft unverzichtbar sind.</w:t>
      </w:r>
    </w:p>
    <w:p w14:paraId="43F42EF1" w14:textId="77777777" w:rsidR="00520F8A" w:rsidRDefault="00520F8A" w:rsidP="00520F8A">
      <w:pPr>
        <w:pStyle w:val="FiBLmmzwischentitel"/>
      </w:pPr>
      <w:r>
        <w:lastRenderedPageBreak/>
        <w:t>Fazit: Mehr als eine Klimafrage</w:t>
      </w:r>
    </w:p>
    <w:p w14:paraId="568A3426" w14:textId="57BDEF8D" w:rsidR="00520F8A" w:rsidRPr="006910AE" w:rsidRDefault="00520F8A" w:rsidP="006910AE">
      <w:pPr>
        <w:pStyle w:val="FiBLmmstandard"/>
      </w:pPr>
      <w:r>
        <w:t xml:space="preserve">Die biologische Rinderhaltung ist nicht Teil des Problems, sondern Teil der Lösung. Entscheidend ist, wie sie gestaltet wird. Das neue FiBL Faktenblatt liefert Daten, Zusammenhänge und Strategien, wie biologische, graslandbasierte Rinderhaltung </w:t>
      </w:r>
      <w:r w:rsidR="00EF5880" w:rsidRPr="00EF5880">
        <w:t>zum Klimaschutz beitragen und gleichzeitig die Ernährungssicherheit und Ressourceneffizienz stärken</w:t>
      </w:r>
      <w:r>
        <w:t xml:space="preserve"> – wenn sie standortgerecht und ressourcenschonend gestaltet ist.</w:t>
      </w:r>
    </w:p>
    <w:p w14:paraId="7D4A7186" w14:textId="2C806B79" w:rsidR="00CD4B01" w:rsidRPr="00450FA1" w:rsidRDefault="00CD4B01" w:rsidP="00520F8A">
      <w:pPr>
        <w:pStyle w:val="FiBLmmzusatzinfo"/>
        <w:rPr>
          <w:lang w:val="it-CH"/>
        </w:rPr>
      </w:pPr>
      <w:r w:rsidRPr="00450FA1">
        <w:rPr>
          <w:lang w:val="it-CH"/>
        </w:rPr>
        <w:t>FiBL</w:t>
      </w:r>
      <w:r w:rsidR="00C01EEC">
        <w:rPr>
          <w:lang w:val="it-CH"/>
        </w:rPr>
        <w:t xml:space="preserve"> </w:t>
      </w:r>
      <w:r w:rsidR="00A83E49">
        <w:rPr>
          <w:lang w:val="it-CH"/>
        </w:rPr>
        <w:t xml:space="preserve">und BioSuisse </w:t>
      </w:r>
      <w:r w:rsidRPr="00450FA1">
        <w:rPr>
          <w:lang w:val="it-CH"/>
        </w:rPr>
        <w:t>Kontakt</w:t>
      </w:r>
      <w:r w:rsidR="00A83E49">
        <w:rPr>
          <w:lang w:val="it-CH"/>
        </w:rPr>
        <w:t>e</w:t>
      </w:r>
    </w:p>
    <w:p w14:paraId="7D4A7187" w14:textId="08BAEDE8" w:rsidR="003C6406" w:rsidRDefault="00EF5880" w:rsidP="00866E96">
      <w:pPr>
        <w:pStyle w:val="FiBLmmaufzhlungszeichen"/>
      </w:pPr>
      <w:r w:rsidRPr="00F01A89">
        <w:t>Florian Leiber</w:t>
      </w:r>
      <w:r w:rsidR="003C6406" w:rsidRPr="00F01A89">
        <w:t xml:space="preserve">, </w:t>
      </w:r>
      <w:r w:rsidR="003C4537" w:rsidRPr="00F01A89">
        <w:t>FiBL Schweiz</w:t>
      </w:r>
      <w:r w:rsidR="003C4537">
        <w:br/>
      </w:r>
      <w:r w:rsidR="0001151E">
        <w:t>Tel</w:t>
      </w:r>
      <w:r w:rsidR="00866E96">
        <w:t xml:space="preserve"> +41 62 </w:t>
      </w:r>
      <w:r w:rsidR="003E2286">
        <w:t xml:space="preserve">865 </w:t>
      </w:r>
      <w:r>
        <w:t>72 17</w:t>
      </w:r>
      <w:r w:rsidR="00866E96">
        <w:t xml:space="preserve">, </w:t>
      </w:r>
      <w:r w:rsidR="009F3D54">
        <w:t xml:space="preserve">E-Mail </w:t>
      </w:r>
      <w:hyperlink r:id="rId15" w:history="1">
        <w:r w:rsidR="00A02D13" w:rsidRPr="00B95936">
          <w:rPr>
            <w:rStyle w:val="Hyperlink"/>
          </w:rPr>
          <w:t>florian.leiber@fibl.org</w:t>
        </w:r>
      </w:hyperlink>
    </w:p>
    <w:p w14:paraId="7D4A718B" w14:textId="4B811027" w:rsidR="00CD4B01" w:rsidRDefault="00F01A89" w:rsidP="00CD4B01">
      <w:pPr>
        <w:pStyle w:val="FiBLmmaufzhlungszeichen"/>
      </w:pPr>
      <w:r>
        <w:t>Phie Thanner, FiBL Schweiz</w:t>
      </w:r>
      <w:r>
        <w:br/>
        <w:t xml:space="preserve">Tel +41 </w:t>
      </w:r>
      <w:r w:rsidRPr="00F01A89">
        <w:t>62 865 72 63</w:t>
      </w:r>
      <w:r>
        <w:t xml:space="preserve">, E-Mail </w:t>
      </w:r>
      <w:hyperlink r:id="rId16" w:history="1">
        <w:r w:rsidRPr="00084D0A">
          <w:rPr>
            <w:rStyle w:val="Hyperlink"/>
          </w:rPr>
          <w:t>phie.thanner@fibl.org</w:t>
        </w:r>
      </w:hyperlink>
    </w:p>
    <w:p w14:paraId="4E77BD18" w14:textId="48913ECE" w:rsidR="00520F8A" w:rsidRDefault="00EF5880" w:rsidP="00520F8A">
      <w:pPr>
        <w:pStyle w:val="FiBLmmaufzhlungszeichen"/>
      </w:pPr>
      <w:r>
        <w:t xml:space="preserve">Jasmin Hufschmid, </w:t>
      </w:r>
      <w:r w:rsidR="00520F8A">
        <w:t>Bio Suisse</w:t>
      </w:r>
      <w:r>
        <w:br/>
        <w:t xml:space="preserve">Tel </w:t>
      </w:r>
      <w:hyperlink r:id="rId17" w:history="1">
        <w:r w:rsidR="00F01A89" w:rsidRPr="00F01A89">
          <w:t>+41 61 204 66 09</w:t>
        </w:r>
      </w:hyperlink>
      <w:r>
        <w:t xml:space="preserve">, E-Mail </w:t>
      </w:r>
      <w:hyperlink r:id="rId18" w:history="1">
        <w:r w:rsidR="00F01A89" w:rsidRPr="00084D0A">
          <w:rPr>
            <w:rStyle w:val="Hyperlink"/>
          </w:rPr>
          <w:t>jasmin.hufschmid@bio-suisse.ch</w:t>
        </w:r>
      </w:hyperlink>
    </w:p>
    <w:p w14:paraId="38A2D5D0" w14:textId="77777777" w:rsidR="00A83E49" w:rsidRDefault="00A83E49" w:rsidP="00A83E49">
      <w:pPr>
        <w:pStyle w:val="FiBLmmaufzhlungszeichen"/>
        <w:numPr>
          <w:ilvl w:val="0"/>
          <w:numId w:val="0"/>
        </w:numPr>
        <w:ind w:left="426" w:hanging="284"/>
      </w:pPr>
    </w:p>
    <w:p w14:paraId="7D4A718C" w14:textId="77777777" w:rsidR="00195EC7" w:rsidRPr="00196E8C" w:rsidRDefault="00195EC7" w:rsidP="00F01A89">
      <w:pPr>
        <w:pStyle w:val="FiBLmmaufzhlungszeichen"/>
        <w:numPr>
          <w:ilvl w:val="0"/>
          <w:numId w:val="0"/>
        </w:numPr>
        <w:rPr>
          <w:rFonts w:ascii="Gill Sans MT" w:hAnsi="Gill Sans MT"/>
          <w:b/>
        </w:rPr>
      </w:pPr>
      <w:r w:rsidRPr="00196E8C">
        <w:rPr>
          <w:rFonts w:ascii="Gill Sans MT" w:hAnsi="Gill Sans MT"/>
          <w:b/>
        </w:rPr>
        <w:t>Links</w:t>
      </w:r>
    </w:p>
    <w:p w14:paraId="3BC5532C" w14:textId="6DA6965B" w:rsidR="00520F8A" w:rsidRPr="00196E8C" w:rsidRDefault="00602090" w:rsidP="00520F8A">
      <w:pPr>
        <w:pStyle w:val="FiBLmmstandard"/>
      </w:pPr>
      <w:r>
        <w:t xml:space="preserve">Faktenblatt «Kuh und Klima»: </w:t>
      </w:r>
      <w:hyperlink r:id="rId19" w:history="1">
        <w:r w:rsidRPr="00E014C7">
          <w:rPr>
            <w:rStyle w:val="Hyperlink"/>
          </w:rPr>
          <w:t>https://www.fibl.org/de/shop/1828-kuh-klima</w:t>
        </w:r>
      </w:hyperlink>
    </w:p>
    <w:p w14:paraId="7D4A718E" w14:textId="77777777" w:rsidR="000A0CF7" w:rsidRPr="00602090" w:rsidRDefault="000A0CF7" w:rsidP="00230924">
      <w:pPr>
        <w:pStyle w:val="FiBLmmzusatzinfo"/>
        <w:rPr>
          <w:lang w:val="fr-CH"/>
        </w:rPr>
      </w:pPr>
      <w:r w:rsidRPr="00602090">
        <w:rPr>
          <w:lang w:val="fr-CH"/>
        </w:rPr>
        <w:t>Bibliographie</w:t>
      </w:r>
    </w:p>
    <w:p w14:paraId="7D4A718F" w14:textId="65043D73" w:rsidR="00AA295A" w:rsidRPr="00F01A89" w:rsidRDefault="00F01A89" w:rsidP="00F01A89">
      <w:pPr>
        <w:pStyle w:val="FiBLmmliteratur"/>
      </w:pPr>
      <w:r w:rsidRPr="00602090">
        <w:rPr>
          <w:lang w:val="fr-CH"/>
        </w:rPr>
        <w:t xml:space="preserve">Leiber F. et al. </w:t>
      </w:r>
      <w:r>
        <w:t>(2025). Kuh und Klima. Forschungsinstitut für biologischen Landbau FiBL, Frick. Unter: shop.fibl.org &gt; 1828</w:t>
      </w:r>
    </w:p>
    <w:p w14:paraId="7D4A7190" w14:textId="77777777" w:rsidR="002A7256" w:rsidRDefault="002A7256" w:rsidP="002A7256">
      <w:pPr>
        <w:pStyle w:val="FiBLmmzusatzinfo"/>
      </w:pPr>
      <w:r>
        <w:t>Diese Medienmitteilung im Internet</w:t>
      </w:r>
    </w:p>
    <w:p w14:paraId="1D5BE202" w14:textId="3DA10BBE" w:rsidR="00602090" w:rsidRDefault="007C691F" w:rsidP="007C691F">
      <w:pPr>
        <w:pStyle w:val="FiBLmmstandard"/>
      </w:pPr>
      <w:r>
        <w:t xml:space="preserve">Sie finden diese Medienmitteilung einschliesslich Bilder im Internet unter </w:t>
      </w:r>
      <w:hyperlink r:id="rId20" w:history="1">
        <w:r w:rsidR="00B83FDA">
          <w:rPr>
            <w:rStyle w:val="Hyperlink"/>
          </w:rPr>
          <w:t>www.fibl.org/de/infothek/medien.html</w:t>
        </w:r>
      </w:hyperlink>
      <w:r w:rsidR="004B6C83">
        <w:t>.</w:t>
      </w:r>
    </w:p>
    <w:p w14:paraId="7D4A7192" w14:textId="77777777" w:rsidR="002C0814" w:rsidRPr="00A04F66" w:rsidRDefault="002C0814" w:rsidP="00A17E51">
      <w:pPr>
        <w:pStyle w:val="FiBLmmerluterungtitel"/>
      </w:pPr>
      <w:r w:rsidRPr="00A17E51">
        <w:t>Über</w:t>
      </w:r>
      <w:r w:rsidRPr="00A04F66">
        <w:t xml:space="preserve"> das FiBL</w:t>
      </w:r>
    </w:p>
    <w:p w14:paraId="7D4A7195" w14:textId="664C4460" w:rsidR="004730C6" w:rsidRPr="00450FA1" w:rsidRDefault="00450FA1" w:rsidP="00450FA1">
      <w:pPr>
        <w:pStyle w:val="FiBLmmerluterung"/>
      </w:pPr>
      <w:r w:rsidRPr="00DB7736">
        <w:t>Das Forschungsinstitut für biologischen Landbau FiBL ist eine der weltweit führenden Forschungseinrichtungen im Bereich Biolandwirtschaft. Die Stärken des FiBL sind interdisziplinäre Forschung, gemeinsame Innovationen mit Landwirt*innen und der Lebensmittelbranche sowie ein rascher Wissenstransfer. Der FiBL Gruppe gehören derzeit F</w:t>
      </w:r>
      <w:r w:rsidR="005B07DB">
        <w:t>i</w:t>
      </w:r>
      <w:r w:rsidRPr="00DB7736">
        <w:t xml:space="preserve">BL Schweiz (gegründet 1973), FiBL Deutschland (2001), FiBL Österreich (2004), </w:t>
      </w:r>
      <w:r w:rsidR="005B07DB">
        <w:t>Ö</w:t>
      </w:r>
      <w:r w:rsidRPr="00DB7736">
        <w:t>MK</w:t>
      </w:r>
      <w:r w:rsidR="005B07DB">
        <w:t>i</w:t>
      </w:r>
      <w:r w:rsidRPr="00DB7736">
        <w:t xml:space="preserve"> (ungarisches Forschungsinstitut für biologischen Landbau, 2011), FiBL Frankreich (2017) und das gemeinsam von den fünf nationalen Instituten getragene FiBL Europe (2017) an. An den verschiedenen Standorten sind </w:t>
      </w:r>
      <w:r w:rsidR="004E7DB7">
        <w:t>über</w:t>
      </w:r>
      <w:r w:rsidRPr="00DB7736">
        <w:t xml:space="preserve"> </w:t>
      </w:r>
      <w:r w:rsidR="1B799F18" w:rsidRPr="00DB7736">
        <w:t>40</w:t>
      </w:r>
      <w:r w:rsidR="009F3D54">
        <w:t>0</w:t>
      </w:r>
      <w:r w:rsidRPr="00DB7736">
        <w:t xml:space="preserve"> Mitarbeitende tätig. </w:t>
      </w:r>
      <w:hyperlink r:id="rId21" w:history="1">
        <w:r w:rsidR="00602090" w:rsidRPr="00E014C7">
          <w:rPr>
            <w:rStyle w:val="Hyperlink"/>
          </w:rPr>
          <w:t>www.fibl.org</w:t>
        </w:r>
      </w:hyperlink>
    </w:p>
    <w:sectPr w:rsidR="004730C6" w:rsidRPr="00450FA1" w:rsidSect="001B31D5">
      <w:footerReference w:type="default" r:id="rId22"/>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647F" w14:textId="77777777" w:rsidR="007D7C55" w:rsidRDefault="007D7C55" w:rsidP="00F53AA9">
      <w:pPr>
        <w:spacing w:after="0" w:line="240" w:lineRule="auto"/>
      </w:pPr>
      <w:r>
        <w:separator/>
      </w:r>
    </w:p>
  </w:endnote>
  <w:endnote w:type="continuationSeparator" w:id="0">
    <w:p w14:paraId="38134B5C" w14:textId="77777777" w:rsidR="007D7C55" w:rsidRDefault="007D7C55"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tka Text">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6"/>
      <w:gridCol w:w="407"/>
    </w:tblGrid>
    <w:tr w:rsidR="00F73377" w:rsidRPr="008A6B50" w14:paraId="7D4A71A4" w14:textId="77777777" w:rsidTr="00C16594">
      <w:trPr>
        <w:trHeight w:val="508"/>
      </w:trPr>
      <w:tc>
        <w:tcPr>
          <w:tcW w:w="7656" w:type="dxa"/>
        </w:tcPr>
        <w:p w14:paraId="7D4A71A1" w14:textId="77777777" w:rsidR="008A6B50" w:rsidRDefault="00F73377" w:rsidP="00DA14CE">
          <w:pPr>
            <w:pStyle w:val="FiBLmmfusszeile"/>
          </w:pPr>
          <w:r w:rsidRPr="008A6B50">
            <w:t xml:space="preserve">Forschungsinstitut für biologischen Landbau FiBL | Ackerstrasse 113 | Postfach 219 </w:t>
          </w:r>
        </w:p>
        <w:p w14:paraId="7D4A71A2" w14:textId="77777777" w:rsidR="00F73377" w:rsidRPr="008A6B50" w:rsidRDefault="00F73377" w:rsidP="0001151E">
          <w:pPr>
            <w:pStyle w:val="FiBLmmfusszeile"/>
          </w:pPr>
          <w:r w:rsidRPr="008A6B50">
            <w:t>5070 Frick | Schweiz</w:t>
          </w:r>
          <w:r w:rsidR="001B2B79" w:rsidRPr="008A6B50">
            <w:t xml:space="preserve"> | </w:t>
          </w:r>
          <w:r w:rsidR="0001151E">
            <w:t>Tel</w:t>
          </w:r>
          <w:r w:rsidR="001B2B79">
            <w:t xml:space="preserve"> +41 </w:t>
          </w:r>
          <w:r w:rsidRPr="008A6B50">
            <w:t xml:space="preserve">62 865 72 72 | </w:t>
          </w:r>
          <w:hyperlink r:id="rId1">
            <w:r w:rsidRPr="008A6B50">
              <w:t xml:space="preserve">info.suisse@fibl.org </w:t>
            </w:r>
          </w:hyperlink>
          <w:r w:rsidRPr="008A6B50">
            <w:t xml:space="preserve">| </w:t>
          </w:r>
          <w:hyperlink r:id="rId2">
            <w:r w:rsidRPr="008A6B50">
              <w:t>www.fibl.org</w:t>
            </w:r>
          </w:hyperlink>
        </w:p>
      </w:tc>
      <w:tc>
        <w:tcPr>
          <w:tcW w:w="407" w:type="dxa"/>
        </w:tcPr>
        <w:p w14:paraId="7D4A71A3" w14:textId="77777777" w:rsidR="00F73377" w:rsidRPr="008A6B50" w:rsidRDefault="00F73377" w:rsidP="00DA14CE">
          <w:pPr>
            <w:pStyle w:val="FiBLmmseitennummer"/>
          </w:pPr>
        </w:p>
      </w:tc>
    </w:tr>
  </w:tbl>
  <w:p w14:paraId="7D4A71A5" w14:textId="77777777" w:rsidR="00D142E7" w:rsidRPr="00F73377" w:rsidRDefault="00D142E7" w:rsidP="00F733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7D4A71AA" w14:textId="77777777" w:rsidTr="0053530C">
      <w:trPr>
        <w:trHeight w:val="508"/>
      </w:trPr>
      <w:tc>
        <w:tcPr>
          <w:tcW w:w="4923" w:type="pct"/>
        </w:tcPr>
        <w:p w14:paraId="7D4A71A8" w14:textId="226FB017" w:rsidR="00DA14CE" w:rsidRPr="001926E1" w:rsidRDefault="00DA14CE" w:rsidP="001926E1">
          <w:pPr>
            <w:pStyle w:val="FiBLmmfusszeile"/>
          </w:pPr>
          <w:r>
            <w:t>Medienmitteilung vo</w:t>
          </w:r>
          <w:r w:rsidR="00A83E49">
            <w:t>m 03.10.2025</w:t>
          </w:r>
        </w:p>
      </w:tc>
      <w:tc>
        <w:tcPr>
          <w:tcW w:w="77" w:type="pct"/>
        </w:tcPr>
        <w:p w14:paraId="7D4A71A9" w14:textId="77777777"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9B52A0">
            <w:rPr>
              <w:noProof/>
            </w:rPr>
            <w:t>2</w:t>
          </w:r>
          <w:r w:rsidRPr="00DA14CE">
            <w:fldChar w:fldCharType="end"/>
          </w:r>
        </w:p>
      </w:tc>
    </w:tr>
  </w:tbl>
  <w:p w14:paraId="7D4A7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4C73" w14:textId="77777777" w:rsidR="007D7C55" w:rsidRDefault="007D7C55" w:rsidP="00F53AA9">
      <w:pPr>
        <w:spacing w:after="0" w:line="240" w:lineRule="auto"/>
      </w:pPr>
      <w:r>
        <w:separator/>
      </w:r>
    </w:p>
  </w:footnote>
  <w:footnote w:type="continuationSeparator" w:id="0">
    <w:p w14:paraId="77A3F46B" w14:textId="77777777" w:rsidR="007D7C55" w:rsidRDefault="007D7C55"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7D4A719E" w14:textId="77777777" w:rsidTr="00C16594">
      <w:trPr>
        <w:trHeight w:val="599"/>
      </w:trPr>
      <w:tc>
        <w:tcPr>
          <w:tcW w:w="1616" w:type="dxa"/>
        </w:tcPr>
        <w:p w14:paraId="3BAE43E7" w14:textId="77777777" w:rsidR="00935280" w:rsidRDefault="007666E3" w:rsidP="007666E3">
          <w:pPr>
            <w:pStyle w:val="FiBLmmheader"/>
          </w:pPr>
          <w:r>
            <w:rPr>
              <w:noProof/>
            </w:rPr>
            <w:drawing>
              <wp:inline distT="0" distB="0" distL="0" distR="0" wp14:anchorId="7D4A71AC" wp14:editId="7D4A71AD">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r w:rsidR="008F4303">
            <w:t xml:space="preserve"> </w:t>
          </w:r>
        </w:p>
        <w:p w14:paraId="074D5ACC" w14:textId="77777777" w:rsidR="00935280" w:rsidRDefault="00935280" w:rsidP="007666E3">
          <w:pPr>
            <w:pStyle w:val="FiBLmmheader"/>
          </w:pPr>
        </w:p>
        <w:p w14:paraId="7D4A719B" w14:textId="276FCE62" w:rsidR="007666E3" w:rsidRPr="00C725B7" w:rsidRDefault="008F4303" w:rsidP="007666E3">
          <w:pPr>
            <w:pStyle w:val="FiBLmmheader"/>
          </w:pPr>
          <w:r>
            <w:t xml:space="preserve">   </w:t>
          </w:r>
        </w:p>
      </w:tc>
      <w:tc>
        <w:tcPr>
          <w:tcW w:w="4111" w:type="dxa"/>
        </w:tcPr>
        <w:p w14:paraId="7D4A719C" w14:textId="0883C83F" w:rsidR="007666E3" w:rsidRDefault="00602090" w:rsidP="007666E3">
          <w:pPr>
            <w:tabs>
              <w:tab w:val="right" w:pos="7653"/>
            </w:tabs>
          </w:pPr>
          <w:r>
            <w:rPr>
              <w:noProof/>
            </w:rPr>
            <w:drawing>
              <wp:anchor distT="0" distB="0" distL="114300" distR="114300" simplePos="0" relativeHeight="251658240" behindDoc="0" locked="0" layoutInCell="1" allowOverlap="1" wp14:anchorId="28C9455E" wp14:editId="063FE840">
                <wp:simplePos x="0" y="0"/>
                <wp:positionH relativeFrom="column">
                  <wp:posOffset>192405</wp:posOffset>
                </wp:positionH>
                <wp:positionV relativeFrom="paragraph">
                  <wp:posOffset>-173990</wp:posOffset>
                </wp:positionV>
                <wp:extent cx="842010" cy="683895"/>
                <wp:effectExtent l="0" t="0" r="0" b="1905"/>
                <wp:wrapNone/>
                <wp:docPr id="1568892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010" cy="683895"/>
                        </a:xfrm>
                        <a:prstGeom prst="rect">
                          <a:avLst/>
                        </a:prstGeom>
                        <a:noFill/>
                        <a:ln>
                          <a:noFill/>
                        </a:ln>
                      </pic:spPr>
                    </pic:pic>
                  </a:graphicData>
                </a:graphic>
              </wp:anchor>
            </w:drawing>
          </w:r>
          <w:r w:rsidR="008F4303">
            <w:t xml:space="preserve"> </w:t>
          </w:r>
        </w:p>
      </w:tc>
      <w:tc>
        <w:tcPr>
          <w:tcW w:w="2268" w:type="dxa"/>
        </w:tcPr>
        <w:p w14:paraId="7D4A719D" w14:textId="77777777" w:rsidR="007666E3" w:rsidRDefault="007666E3" w:rsidP="00A033E7">
          <w:pPr>
            <w:tabs>
              <w:tab w:val="right" w:pos="7653"/>
            </w:tabs>
            <w:jc w:val="right"/>
          </w:pPr>
        </w:p>
      </w:tc>
    </w:tr>
  </w:tbl>
  <w:p w14:paraId="7D4A719F" w14:textId="77777777" w:rsidR="00540DAE" w:rsidRDefault="00540DAE" w:rsidP="00E71FBF">
    <w:pPr>
      <w:tabs>
        <w:tab w:val="right" w:pos="76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72040365">
    <w:abstractNumId w:val="3"/>
  </w:num>
  <w:num w:numId="2" w16cid:durableId="212543354">
    <w:abstractNumId w:val="0"/>
  </w:num>
  <w:num w:numId="3" w16cid:durableId="290593166">
    <w:abstractNumId w:val="2"/>
  </w:num>
  <w:num w:numId="4" w16cid:durableId="39959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AD"/>
    <w:rsid w:val="0001151E"/>
    <w:rsid w:val="00075B35"/>
    <w:rsid w:val="0008157D"/>
    <w:rsid w:val="00097E74"/>
    <w:rsid w:val="000A0CF7"/>
    <w:rsid w:val="000A3B13"/>
    <w:rsid w:val="000B5156"/>
    <w:rsid w:val="000C5E1F"/>
    <w:rsid w:val="000C75D0"/>
    <w:rsid w:val="000D52E9"/>
    <w:rsid w:val="000D5714"/>
    <w:rsid w:val="000D7A27"/>
    <w:rsid w:val="000E180B"/>
    <w:rsid w:val="000F2BE9"/>
    <w:rsid w:val="001050BE"/>
    <w:rsid w:val="00107221"/>
    <w:rsid w:val="001354F8"/>
    <w:rsid w:val="001366DE"/>
    <w:rsid w:val="00146772"/>
    <w:rsid w:val="0015665D"/>
    <w:rsid w:val="00164C87"/>
    <w:rsid w:val="0017068A"/>
    <w:rsid w:val="0018367E"/>
    <w:rsid w:val="0018434A"/>
    <w:rsid w:val="001926E1"/>
    <w:rsid w:val="00195EC7"/>
    <w:rsid w:val="00196E8C"/>
    <w:rsid w:val="001A2005"/>
    <w:rsid w:val="001B2B79"/>
    <w:rsid w:val="001B31D5"/>
    <w:rsid w:val="001B3DB5"/>
    <w:rsid w:val="001E1808"/>
    <w:rsid w:val="001E1C11"/>
    <w:rsid w:val="001F27C8"/>
    <w:rsid w:val="001F529F"/>
    <w:rsid w:val="00211862"/>
    <w:rsid w:val="002203DD"/>
    <w:rsid w:val="0022639B"/>
    <w:rsid w:val="00230924"/>
    <w:rsid w:val="00280674"/>
    <w:rsid w:val="002925F1"/>
    <w:rsid w:val="002A7256"/>
    <w:rsid w:val="002B1D53"/>
    <w:rsid w:val="002C0814"/>
    <w:rsid w:val="002C3506"/>
    <w:rsid w:val="002C4031"/>
    <w:rsid w:val="002C7DE9"/>
    <w:rsid w:val="002D757B"/>
    <w:rsid w:val="002D7D78"/>
    <w:rsid w:val="002E414D"/>
    <w:rsid w:val="002F586A"/>
    <w:rsid w:val="003150C5"/>
    <w:rsid w:val="003847CC"/>
    <w:rsid w:val="003A4191"/>
    <w:rsid w:val="003C3779"/>
    <w:rsid w:val="003C4537"/>
    <w:rsid w:val="003C6406"/>
    <w:rsid w:val="003D1138"/>
    <w:rsid w:val="003E2286"/>
    <w:rsid w:val="003E50E2"/>
    <w:rsid w:val="003E5C36"/>
    <w:rsid w:val="0041671F"/>
    <w:rsid w:val="00423C89"/>
    <w:rsid w:val="00425269"/>
    <w:rsid w:val="00425CDF"/>
    <w:rsid w:val="00434EFD"/>
    <w:rsid w:val="0044286A"/>
    <w:rsid w:val="00446B90"/>
    <w:rsid w:val="00446FCF"/>
    <w:rsid w:val="00450F2F"/>
    <w:rsid w:val="00450FA1"/>
    <w:rsid w:val="004539B7"/>
    <w:rsid w:val="00453BD9"/>
    <w:rsid w:val="004570C7"/>
    <w:rsid w:val="00465871"/>
    <w:rsid w:val="0046602F"/>
    <w:rsid w:val="004730C6"/>
    <w:rsid w:val="004762FE"/>
    <w:rsid w:val="004807B1"/>
    <w:rsid w:val="004B6C83"/>
    <w:rsid w:val="004C4067"/>
    <w:rsid w:val="004D0109"/>
    <w:rsid w:val="004D6428"/>
    <w:rsid w:val="004E7DB7"/>
    <w:rsid w:val="004F613F"/>
    <w:rsid w:val="00503A70"/>
    <w:rsid w:val="00520F8A"/>
    <w:rsid w:val="0053530C"/>
    <w:rsid w:val="00540B0E"/>
    <w:rsid w:val="00540DAE"/>
    <w:rsid w:val="00555C7D"/>
    <w:rsid w:val="00556DC5"/>
    <w:rsid w:val="00571E3B"/>
    <w:rsid w:val="00580C94"/>
    <w:rsid w:val="005867AD"/>
    <w:rsid w:val="005938C8"/>
    <w:rsid w:val="0059401F"/>
    <w:rsid w:val="0059595F"/>
    <w:rsid w:val="005B07DB"/>
    <w:rsid w:val="005D0989"/>
    <w:rsid w:val="005F1359"/>
    <w:rsid w:val="005F5A7E"/>
    <w:rsid w:val="00602090"/>
    <w:rsid w:val="006247DE"/>
    <w:rsid w:val="00624F67"/>
    <w:rsid w:val="006410F4"/>
    <w:rsid w:val="00661678"/>
    <w:rsid w:val="0066529D"/>
    <w:rsid w:val="00681E9E"/>
    <w:rsid w:val="006910AE"/>
    <w:rsid w:val="006C3803"/>
    <w:rsid w:val="006D0FF6"/>
    <w:rsid w:val="006D4D11"/>
    <w:rsid w:val="006E612A"/>
    <w:rsid w:val="00712776"/>
    <w:rsid w:val="00727486"/>
    <w:rsid w:val="00736F11"/>
    <w:rsid w:val="00754508"/>
    <w:rsid w:val="00764E69"/>
    <w:rsid w:val="007666E3"/>
    <w:rsid w:val="00783BE6"/>
    <w:rsid w:val="0078787E"/>
    <w:rsid w:val="00793238"/>
    <w:rsid w:val="007973A7"/>
    <w:rsid w:val="007A051D"/>
    <w:rsid w:val="007A0D20"/>
    <w:rsid w:val="007C6110"/>
    <w:rsid w:val="007C691F"/>
    <w:rsid w:val="007C7E19"/>
    <w:rsid w:val="007D7C55"/>
    <w:rsid w:val="007F2027"/>
    <w:rsid w:val="00817B94"/>
    <w:rsid w:val="00823157"/>
    <w:rsid w:val="008417D3"/>
    <w:rsid w:val="00861053"/>
    <w:rsid w:val="00861AC8"/>
    <w:rsid w:val="00866E96"/>
    <w:rsid w:val="00870F62"/>
    <w:rsid w:val="00872371"/>
    <w:rsid w:val="008A5E8C"/>
    <w:rsid w:val="008A6B50"/>
    <w:rsid w:val="008A7E74"/>
    <w:rsid w:val="008D48AD"/>
    <w:rsid w:val="008F4303"/>
    <w:rsid w:val="009109C1"/>
    <w:rsid w:val="00912F05"/>
    <w:rsid w:val="00932449"/>
    <w:rsid w:val="009346B2"/>
    <w:rsid w:val="00935280"/>
    <w:rsid w:val="009669B5"/>
    <w:rsid w:val="00977E72"/>
    <w:rsid w:val="00981742"/>
    <w:rsid w:val="00982A03"/>
    <w:rsid w:val="00986F71"/>
    <w:rsid w:val="009B52A0"/>
    <w:rsid w:val="009B7C45"/>
    <w:rsid w:val="009C0B90"/>
    <w:rsid w:val="009C0F61"/>
    <w:rsid w:val="009C7E54"/>
    <w:rsid w:val="009F3D54"/>
    <w:rsid w:val="00A02D13"/>
    <w:rsid w:val="00A033E7"/>
    <w:rsid w:val="00A04F66"/>
    <w:rsid w:val="00A135C6"/>
    <w:rsid w:val="00A17E51"/>
    <w:rsid w:val="00A27464"/>
    <w:rsid w:val="00A365ED"/>
    <w:rsid w:val="00A4195C"/>
    <w:rsid w:val="00A57050"/>
    <w:rsid w:val="00A624F0"/>
    <w:rsid w:val="00A83320"/>
    <w:rsid w:val="00A83E49"/>
    <w:rsid w:val="00AA295A"/>
    <w:rsid w:val="00AC6487"/>
    <w:rsid w:val="00AD7C89"/>
    <w:rsid w:val="00AE2E73"/>
    <w:rsid w:val="00B116CC"/>
    <w:rsid w:val="00B11B61"/>
    <w:rsid w:val="00B169A5"/>
    <w:rsid w:val="00B25F0B"/>
    <w:rsid w:val="00B273DE"/>
    <w:rsid w:val="00B44024"/>
    <w:rsid w:val="00B532DE"/>
    <w:rsid w:val="00B83FDA"/>
    <w:rsid w:val="00BA7F7B"/>
    <w:rsid w:val="00BB6309"/>
    <w:rsid w:val="00BB7AF8"/>
    <w:rsid w:val="00BC05AC"/>
    <w:rsid w:val="00C01EEC"/>
    <w:rsid w:val="00C10742"/>
    <w:rsid w:val="00C14AA4"/>
    <w:rsid w:val="00C16594"/>
    <w:rsid w:val="00C50896"/>
    <w:rsid w:val="00C54E7B"/>
    <w:rsid w:val="00C725B7"/>
    <w:rsid w:val="00C73E52"/>
    <w:rsid w:val="00C8256D"/>
    <w:rsid w:val="00C93A6C"/>
    <w:rsid w:val="00CB310F"/>
    <w:rsid w:val="00CC3D03"/>
    <w:rsid w:val="00CD4B01"/>
    <w:rsid w:val="00CE149B"/>
    <w:rsid w:val="00CE1A38"/>
    <w:rsid w:val="00CF4CEC"/>
    <w:rsid w:val="00CF7820"/>
    <w:rsid w:val="00D142E7"/>
    <w:rsid w:val="00D20589"/>
    <w:rsid w:val="00D25E6E"/>
    <w:rsid w:val="00D6437B"/>
    <w:rsid w:val="00D7727C"/>
    <w:rsid w:val="00D82FEC"/>
    <w:rsid w:val="00DA14CE"/>
    <w:rsid w:val="00DA5D86"/>
    <w:rsid w:val="00DC15AC"/>
    <w:rsid w:val="00DD0000"/>
    <w:rsid w:val="00DE44EA"/>
    <w:rsid w:val="00E06042"/>
    <w:rsid w:val="00E10621"/>
    <w:rsid w:val="00E11B28"/>
    <w:rsid w:val="00E26382"/>
    <w:rsid w:val="00E32B51"/>
    <w:rsid w:val="00E433A3"/>
    <w:rsid w:val="00E57881"/>
    <w:rsid w:val="00E64975"/>
    <w:rsid w:val="00E71FBF"/>
    <w:rsid w:val="00E945DF"/>
    <w:rsid w:val="00EA09B5"/>
    <w:rsid w:val="00ED0946"/>
    <w:rsid w:val="00EE2D4C"/>
    <w:rsid w:val="00EF5880"/>
    <w:rsid w:val="00EF726D"/>
    <w:rsid w:val="00F01A89"/>
    <w:rsid w:val="00F07B60"/>
    <w:rsid w:val="00F13120"/>
    <w:rsid w:val="00F21304"/>
    <w:rsid w:val="00F21C5E"/>
    <w:rsid w:val="00F463DB"/>
    <w:rsid w:val="00F53AA9"/>
    <w:rsid w:val="00F60E58"/>
    <w:rsid w:val="00F6745D"/>
    <w:rsid w:val="00F73377"/>
    <w:rsid w:val="00F822A2"/>
    <w:rsid w:val="00F852C0"/>
    <w:rsid w:val="00F85BF9"/>
    <w:rsid w:val="00FC7C7B"/>
    <w:rsid w:val="1B799F1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717C"/>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3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styleId="NichtaufgelsteErwhnung">
    <w:name w:val="Unresolved Mention"/>
    <w:basedOn w:val="Absatz-Standardschriftart"/>
    <w:uiPriority w:val="99"/>
    <w:semiHidden/>
    <w:unhideWhenUsed/>
    <w:rsid w:val="009F3D54"/>
    <w:rPr>
      <w:color w:val="605E5C"/>
      <w:shd w:val="clear" w:color="auto" w:fill="E1DFDD"/>
    </w:rPr>
  </w:style>
  <w:style w:type="paragraph" w:customStyle="1" w:styleId="FiBLtitel20">
    <w:name w:val="FiBL_titel_20"/>
    <w:basedOn w:val="Standard"/>
    <w:qFormat/>
    <w:rsid w:val="00520F8A"/>
    <w:pPr>
      <w:spacing w:after="120" w:line="580" w:lineRule="atLeast"/>
    </w:pPr>
    <w:rPr>
      <w:rFonts w:ascii="Gill Sans MT" w:hAnsi="Gill Sans MT"/>
      <w:b/>
      <w:sz w:val="40"/>
      <w:szCs w:val="50"/>
    </w:rPr>
  </w:style>
  <w:style w:type="paragraph" w:customStyle="1" w:styleId="FiBLuntertitel13">
    <w:name w:val="FiBL_untertitel_13"/>
    <w:basedOn w:val="Standard"/>
    <w:qFormat/>
    <w:rsid w:val="00520F8A"/>
    <w:pPr>
      <w:spacing w:after="120" w:line="400" w:lineRule="atLeast"/>
    </w:pPr>
    <w:rPr>
      <w:rFonts w:ascii="Gill Sans MT" w:hAnsi="Gill Sans MT"/>
      <w:b/>
      <w:sz w:val="26"/>
      <w:szCs w:val="34"/>
    </w:rPr>
  </w:style>
  <w:style w:type="paragraph" w:customStyle="1" w:styleId="FiBLstandard">
    <w:name w:val="FiBL_standard"/>
    <w:qFormat/>
    <w:rsid w:val="00520F8A"/>
    <w:pPr>
      <w:spacing w:after="120" w:line="280" w:lineRule="atLeast"/>
      <w:jc w:val="both"/>
    </w:pPr>
    <w:rPr>
      <w:rFonts w:ascii="Palatino Linotype" w:hAnsi="Palatino Linotype"/>
    </w:rPr>
  </w:style>
  <w:style w:type="paragraph" w:customStyle="1" w:styleId="FiBLzwischenberschrift">
    <w:name w:val="FiBL_zwischenüberschrift"/>
    <w:basedOn w:val="FiBLstandard"/>
    <w:next w:val="FiBLstandard"/>
    <w:qFormat/>
    <w:rsid w:val="00520F8A"/>
    <w:pPr>
      <w:spacing w:before="360"/>
      <w:jc w:val="left"/>
    </w:pPr>
    <w:rPr>
      <w:rFonts w:ascii="Gill Sans MT" w:hAnsi="Gill Sans MT"/>
      <w:b/>
    </w:rPr>
  </w:style>
  <w:style w:type="paragraph" w:styleId="berarbeitung">
    <w:name w:val="Revision"/>
    <w:hidden/>
    <w:uiPriority w:val="99"/>
    <w:semiHidden/>
    <w:rsid w:val="009B7C45"/>
    <w:pPr>
      <w:spacing w:after="0" w:line="240" w:lineRule="auto"/>
    </w:pPr>
  </w:style>
  <w:style w:type="character" w:styleId="Kommentarzeichen">
    <w:name w:val="annotation reference"/>
    <w:basedOn w:val="Absatz-Standardschriftart"/>
    <w:uiPriority w:val="99"/>
    <w:semiHidden/>
    <w:rsid w:val="009B7C45"/>
    <w:rPr>
      <w:sz w:val="16"/>
      <w:szCs w:val="16"/>
    </w:rPr>
  </w:style>
  <w:style w:type="paragraph" w:styleId="Kommentartext">
    <w:name w:val="annotation text"/>
    <w:basedOn w:val="Standard"/>
    <w:link w:val="KommentartextZchn"/>
    <w:uiPriority w:val="99"/>
    <w:semiHidden/>
    <w:rsid w:val="009B7C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7C45"/>
    <w:rPr>
      <w:sz w:val="20"/>
      <w:szCs w:val="20"/>
    </w:rPr>
  </w:style>
  <w:style w:type="paragraph" w:styleId="Kommentarthema">
    <w:name w:val="annotation subject"/>
    <w:basedOn w:val="Kommentartext"/>
    <w:next w:val="Kommentartext"/>
    <w:link w:val="KommentarthemaZchn"/>
    <w:uiPriority w:val="99"/>
    <w:semiHidden/>
    <w:rsid w:val="009B7C45"/>
    <w:rPr>
      <w:b/>
      <w:bCs/>
    </w:rPr>
  </w:style>
  <w:style w:type="character" w:customStyle="1" w:styleId="KommentarthemaZchn">
    <w:name w:val="Kommentarthema Zchn"/>
    <w:basedOn w:val="KommentartextZchn"/>
    <w:link w:val="Kommentarthema"/>
    <w:uiPriority w:val="99"/>
    <w:semiHidden/>
    <w:rsid w:val="009B7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2450">
      <w:bodyDiv w:val="1"/>
      <w:marLeft w:val="0"/>
      <w:marRight w:val="0"/>
      <w:marTop w:val="0"/>
      <w:marBottom w:val="0"/>
      <w:divBdr>
        <w:top w:val="none" w:sz="0" w:space="0" w:color="auto"/>
        <w:left w:val="none" w:sz="0" w:space="0" w:color="auto"/>
        <w:bottom w:val="none" w:sz="0" w:space="0" w:color="auto"/>
        <w:right w:val="none" w:sz="0" w:space="0" w:color="auto"/>
      </w:divBdr>
      <w:divsChild>
        <w:div w:id="925652486">
          <w:marLeft w:val="0"/>
          <w:marRight w:val="0"/>
          <w:marTop w:val="0"/>
          <w:marBottom w:val="0"/>
          <w:divBdr>
            <w:top w:val="none" w:sz="0" w:space="0" w:color="auto"/>
            <w:left w:val="none" w:sz="0" w:space="0" w:color="auto"/>
            <w:bottom w:val="none" w:sz="0" w:space="0" w:color="auto"/>
            <w:right w:val="none" w:sz="0" w:space="0" w:color="auto"/>
          </w:divBdr>
        </w:div>
      </w:divsChild>
    </w:div>
    <w:div w:id="163203275">
      <w:bodyDiv w:val="1"/>
      <w:marLeft w:val="0"/>
      <w:marRight w:val="0"/>
      <w:marTop w:val="0"/>
      <w:marBottom w:val="0"/>
      <w:divBdr>
        <w:top w:val="none" w:sz="0" w:space="0" w:color="auto"/>
        <w:left w:val="none" w:sz="0" w:space="0" w:color="auto"/>
        <w:bottom w:val="none" w:sz="0" w:space="0" w:color="auto"/>
        <w:right w:val="none" w:sz="0" w:space="0" w:color="auto"/>
      </w:divBdr>
    </w:div>
    <w:div w:id="543056890">
      <w:bodyDiv w:val="1"/>
      <w:marLeft w:val="0"/>
      <w:marRight w:val="0"/>
      <w:marTop w:val="0"/>
      <w:marBottom w:val="0"/>
      <w:divBdr>
        <w:top w:val="none" w:sz="0" w:space="0" w:color="auto"/>
        <w:left w:val="none" w:sz="0" w:space="0" w:color="auto"/>
        <w:bottom w:val="none" w:sz="0" w:space="0" w:color="auto"/>
        <w:right w:val="none" w:sz="0" w:space="0" w:color="auto"/>
      </w:divBdr>
      <w:divsChild>
        <w:div w:id="1054743224">
          <w:marLeft w:val="0"/>
          <w:marRight w:val="0"/>
          <w:marTop w:val="0"/>
          <w:marBottom w:val="0"/>
          <w:divBdr>
            <w:top w:val="none" w:sz="0" w:space="0" w:color="auto"/>
            <w:left w:val="none" w:sz="0" w:space="0" w:color="auto"/>
            <w:bottom w:val="none" w:sz="0" w:space="0" w:color="auto"/>
            <w:right w:val="none" w:sz="0" w:space="0" w:color="auto"/>
          </w:divBdr>
        </w:div>
      </w:divsChild>
    </w:div>
    <w:div w:id="20139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jasmin.hufschmid@bio-suisse.ch" TargetMode="External"/><Relationship Id="rId3" Type="http://schemas.openxmlformats.org/officeDocument/2006/relationships/customXml" Target="../customXml/item3.xml"/><Relationship Id="rId21" Type="http://schemas.openxmlformats.org/officeDocument/2006/relationships/hyperlink" Target="http://www.fibl.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41%2061%20204%2066%2009" TargetMode="External"/><Relationship Id="rId2" Type="http://schemas.openxmlformats.org/officeDocument/2006/relationships/customXml" Target="../customXml/item2.xml"/><Relationship Id="rId16" Type="http://schemas.openxmlformats.org/officeDocument/2006/relationships/hyperlink" Target="mailto:phie.thanner@fibl.org" TargetMode="External"/><Relationship Id="rId20" Type="http://schemas.openxmlformats.org/officeDocument/2006/relationships/hyperlink" Target="https://www.fibl.org/de/infothek/medi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lorian.leiber@fibl.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ibl.org/de/shop/1828-kuh-kli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6" ma:contentTypeDescription="Create a new document." ma:contentTypeScope="" ma:versionID="ef25738acaf945b0f4aaaeb8cb33cbe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6a195961b7ed558c19cc809b1a01979"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element ref="ns3:Ti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element name="Titel" ma:index="13" nillable="true" ma:displayName="Titel" ma:internalName="Tit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Titel xmlns="926ccd4c-651f-4ccc-af87-3950eef9fdad">Vorlage zur Erstellung einer Medienmitteilung (nur für die Kommunikationsgruppe)</Titel>
  </documentManagement>
</p:properties>
</file>

<file path=customXml/itemProps1.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2.xml><?xml version="1.0" encoding="utf-8"?>
<ds:datastoreItem xmlns:ds="http://schemas.openxmlformats.org/officeDocument/2006/customXml" ds:itemID="{BF2A8D0F-9448-4BD2-B86D-7A4B97611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38EBF-BFF4-451E-AEEB-EFB239CB819F}">
  <ds:schemaRefs>
    <ds:schemaRef ds:uri="http://schemas.openxmlformats.org/officeDocument/2006/bibliography"/>
  </ds:schemaRefs>
</ds:datastoreItem>
</file>

<file path=customXml/itemProps4.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dd18740c-b141-4d05-9751-e9f3dcf7e76f"/>
    <ds:schemaRef ds:uri="http://schemas.microsoft.com/sharepoint/v3"/>
    <ds:schemaRef ds:uri="926ccd4c-651f-4ccc-af87-3950eef9fd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5259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Basler Andreas</dc:creator>
  <cp:lastModifiedBy>Föller Eva</cp:lastModifiedBy>
  <cp:revision>10</cp:revision>
  <cp:lastPrinted>2025-10-03T09:06:00Z</cp:lastPrinted>
  <dcterms:created xsi:type="dcterms:W3CDTF">2025-09-04T11:39:00Z</dcterms:created>
  <dcterms:modified xsi:type="dcterms:W3CDTF">2025-10-03T09:07:00Z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