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1671" w14:textId="2F84B2CA" w:rsidR="004762FE" w:rsidRPr="004441B5" w:rsidRDefault="00871815" w:rsidP="00453BD9">
      <w:pPr>
        <w:pStyle w:val="FiBLmrsubheader"/>
        <w:rPr>
          <w:lang w:val="fr-FR"/>
        </w:rPr>
        <w:sectPr w:rsidR="004762FE" w:rsidRPr="004441B5" w:rsidSect="00A413DC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 w:rsidRPr="004441B5">
        <w:rPr>
          <w:lang w:val="fr-FR"/>
        </w:rPr>
        <w:t xml:space="preserve">Communiqué aux médias </w:t>
      </w:r>
    </w:p>
    <w:p w14:paraId="0DF7E9CC" w14:textId="4B502547" w:rsidR="00DB60FF" w:rsidRPr="00AE7716" w:rsidRDefault="00DB60FF" w:rsidP="008100C8">
      <w:pPr>
        <w:pStyle w:val="FiBLmrtitle"/>
        <w:rPr>
          <w:lang w:val="fr-CA"/>
        </w:rPr>
      </w:pPr>
      <w:r w:rsidRPr="00DB60FF">
        <w:rPr>
          <w:lang w:val="fr-FR"/>
        </w:rPr>
        <w:t>En</w:t>
      </w:r>
      <w:r w:rsidR="00C62CCF">
        <w:rPr>
          <w:lang w:val="fr-FR"/>
        </w:rPr>
        <w:t> </w:t>
      </w:r>
      <w:r w:rsidRPr="00DB60FF">
        <w:rPr>
          <w:lang w:val="fr-FR"/>
        </w:rPr>
        <w:t xml:space="preserve">2022, plus de 10% des terres agricoles de </w:t>
      </w:r>
      <w:proofErr w:type="spellStart"/>
      <w:r w:rsidRPr="00DB60FF">
        <w:rPr>
          <w:lang w:val="fr-FR"/>
        </w:rPr>
        <w:t>l</w:t>
      </w:r>
      <w:r w:rsidR="00783897">
        <w:rPr>
          <w:rFonts w:ascii="Arial" w:hAnsi="Arial" w:cs="Arial"/>
          <w:lang w:val="fr-FR"/>
        </w:rPr>
        <w:t>ʼ</w:t>
      </w:r>
      <w:r w:rsidRPr="00DB60FF">
        <w:rPr>
          <w:lang w:val="fr-FR"/>
        </w:rPr>
        <w:t>Union</w:t>
      </w:r>
      <w:proofErr w:type="spellEnd"/>
      <w:r w:rsidRPr="00DB60FF">
        <w:rPr>
          <w:lang w:val="fr-FR"/>
        </w:rPr>
        <w:t xml:space="preserve"> </w:t>
      </w:r>
      <w:r w:rsidR="00C62CCF">
        <w:rPr>
          <w:lang w:val="fr-FR"/>
        </w:rPr>
        <w:t>e</w:t>
      </w:r>
      <w:r w:rsidRPr="00DB60FF">
        <w:rPr>
          <w:lang w:val="fr-FR"/>
        </w:rPr>
        <w:t xml:space="preserve">uropéenne étaient </w:t>
      </w:r>
      <w:proofErr w:type="spellStart"/>
      <w:r w:rsidR="00C62CCF">
        <w:rPr>
          <w:lang w:val="fr-FR"/>
        </w:rPr>
        <w:t>cultiv</w:t>
      </w:r>
      <w:r w:rsidR="008B1820">
        <w:rPr>
          <w:lang w:val="fr-CA"/>
        </w:rPr>
        <w:t>és</w:t>
      </w:r>
      <w:proofErr w:type="spellEnd"/>
      <w:r w:rsidR="008B1820">
        <w:rPr>
          <w:lang w:val="fr-CA"/>
        </w:rPr>
        <w:t xml:space="preserve"> en bio</w:t>
      </w:r>
    </w:p>
    <w:p w14:paraId="6680F653" w14:textId="37A74FF8" w:rsidR="00DB60FF" w:rsidRPr="00DB60FF" w:rsidRDefault="00BF0055" w:rsidP="00DB60FF">
      <w:pPr>
        <w:pStyle w:val="FiBLmrsubheader"/>
        <w:rPr>
          <w:lang w:val="fr-FR"/>
        </w:rPr>
      </w:pPr>
      <w:r>
        <w:rPr>
          <w:lang w:val="fr-FR"/>
        </w:rPr>
        <w:t>Avec une hausse de</w:t>
      </w:r>
      <w:r w:rsidR="00DB60FF" w:rsidRPr="00DB60FF">
        <w:rPr>
          <w:lang w:val="fr-FR"/>
        </w:rPr>
        <w:t xml:space="preserve"> 5,1</w:t>
      </w:r>
      <w:r w:rsidR="008B1820">
        <w:rPr>
          <w:lang w:val="fr-FR"/>
        </w:rPr>
        <w:t> </w:t>
      </w:r>
      <w:r w:rsidR="00DB60FF" w:rsidRPr="00DB60FF">
        <w:rPr>
          <w:lang w:val="fr-FR"/>
        </w:rPr>
        <w:t xml:space="preserve">pour cent, la </w:t>
      </w:r>
      <w:r w:rsidR="00CA5ADB">
        <w:rPr>
          <w:lang w:val="fr-FR"/>
        </w:rPr>
        <w:t>surface agricole</w:t>
      </w:r>
      <w:r w:rsidR="00474AEC">
        <w:rPr>
          <w:lang w:val="fr-FR"/>
        </w:rPr>
        <w:t xml:space="preserve"> </w:t>
      </w:r>
      <w:r w:rsidR="00DB60FF" w:rsidRPr="00DB60FF">
        <w:rPr>
          <w:lang w:val="fr-FR"/>
        </w:rPr>
        <w:t xml:space="preserve">biologique de </w:t>
      </w:r>
      <w:proofErr w:type="spellStart"/>
      <w:r w:rsidR="00DB60FF" w:rsidRPr="00DB60FF">
        <w:rPr>
          <w:lang w:val="fr-FR"/>
        </w:rPr>
        <w:t>l</w:t>
      </w:r>
      <w:r w:rsidR="00783897">
        <w:rPr>
          <w:rFonts w:ascii="Arial" w:hAnsi="Arial" w:cs="Arial"/>
          <w:lang w:val="fr-FR"/>
        </w:rPr>
        <w:t>ʼ</w:t>
      </w:r>
      <w:r w:rsidR="00DB60FF" w:rsidRPr="00DB60FF">
        <w:rPr>
          <w:lang w:val="fr-FR"/>
        </w:rPr>
        <w:t>Union</w:t>
      </w:r>
      <w:proofErr w:type="spellEnd"/>
      <w:r w:rsidR="00DB60FF" w:rsidRPr="00DB60FF">
        <w:rPr>
          <w:lang w:val="fr-FR"/>
        </w:rPr>
        <w:t xml:space="preserve"> </w:t>
      </w:r>
      <w:r>
        <w:rPr>
          <w:lang w:val="fr-FR"/>
        </w:rPr>
        <w:t>e</w:t>
      </w:r>
      <w:r w:rsidR="00DB60FF" w:rsidRPr="00DB60FF">
        <w:rPr>
          <w:lang w:val="fr-FR"/>
        </w:rPr>
        <w:t>uropéenne a continué de croître régulièrement en</w:t>
      </w:r>
      <w:r>
        <w:rPr>
          <w:lang w:val="fr-FR"/>
        </w:rPr>
        <w:t> </w:t>
      </w:r>
      <w:r w:rsidR="00DB60FF" w:rsidRPr="00DB60FF">
        <w:rPr>
          <w:lang w:val="fr-FR"/>
        </w:rPr>
        <w:t>2022, atteignant 16,9</w:t>
      </w:r>
      <w:r>
        <w:rPr>
          <w:lang w:val="fr-FR"/>
        </w:rPr>
        <w:t> </w:t>
      </w:r>
      <w:r w:rsidR="00DB60FF" w:rsidRPr="00DB60FF">
        <w:rPr>
          <w:lang w:val="fr-FR"/>
        </w:rPr>
        <w:t xml:space="preserve">millions </w:t>
      </w:r>
      <w:proofErr w:type="spellStart"/>
      <w:r w:rsidR="00DB60FF" w:rsidRPr="00DB60FF">
        <w:rPr>
          <w:lang w:val="fr-FR"/>
        </w:rPr>
        <w:t>d</w:t>
      </w:r>
      <w:r w:rsidR="00783897">
        <w:rPr>
          <w:rFonts w:ascii="Arial" w:hAnsi="Arial" w:cs="Arial"/>
          <w:lang w:val="fr-FR"/>
        </w:rPr>
        <w:t>ʼ</w:t>
      </w:r>
      <w:r w:rsidR="00DB60FF" w:rsidRPr="00DB60FF">
        <w:rPr>
          <w:lang w:val="fr-FR"/>
        </w:rPr>
        <w:t>hectares</w:t>
      </w:r>
      <w:proofErr w:type="spellEnd"/>
      <w:r w:rsidR="00DB60FF" w:rsidRPr="00DB60FF">
        <w:rPr>
          <w:lang w:val="fr-FR"/>
        </w:rPr>
        <w:t>, ce qui représente 10,4</w:t>
      </w:r>
      <w:r>
        <w:rPr>
          <w:lang w:val="fr-FR"/>
        </w:rPr>
        <w:t> </w:t>
      </w:r>
      <w:r w:rsidR="00DB60FF" w:rsidRPr="00DB60FF">
        <w:rPr>
          <w:lang w:val="fr-FR"/>
        </w:rPr>
        <w:t xml:space="preserve">pour cent de la totalité des terres agricoles. Cependant, le marché biologique a connu un léger déclin. Les dernières données sur </w:t>
      </w:r>
      <w:proofErr w:type="spellStart"/>
      <w:r w:rsidR="00DB60FF" w:rsidRPr="00DB60FF">
        <w:rPr>
          <w:lang w:val="fr-FR"/>
        </w:rPr>
        <w:t>l</w:t>
      </w:r>
      <w:r w:rsidR="00783897">
        <w:rPr>
          <w:rFonts w:ascii="Arial" w:hAnsi="Arial" w:cs="Arial"/>
          <w:lang w:val="fr-FR"/>
        </w:rPr>
        <w:t>ʼ</w:t>
      </w:r>
      <w:r w:rsidR="00DB60FF" w:rsidRPr="00DB60FF">
        <w:rPr>
          <w:lang w:val="fr-FR"/>
        </w:rPr>
        <w:t>agriculture</w:t>
      </w:r>
      <w:proofErr w:type="spellEnd"/>
      <w:r w:rsidR="00DB60FF" w:rsidRPr="00DB60FF">
        <w:rPr>
          <w:lang w:val="fr-FR"/>
        </w:rPr>
        <w:t xml:space="preserve"> biologique en Europe, publiées dans </w:t>
      </w:r>
      <w:proofErr w:type="spellStart"/>
      <w:r w:rsidR="00DB60FF" w:rsidRPr="00DB60FF">
        <w:rPr>
          <w:lang w:val="fr-FR"/>
        </w:rPr>
        <w:t>l</w:t>
      </w:r>
      <w:r w:rsidR="00783897">
        <w:rPr>
          <w:rFonts w:ascii="Arial" w:hAnsi="Arial" w:cs="Arial"/>
          <w:lang w:val="fr-FR"/>
        </w:rPr>
        <w:t>ʼ</w:t>
      </w:r>
      <w:r w:rsidR="00DB60FF" w:rsidRPr="00DB60FF">
        <w:rPr>
          <w:lang w:val="fr-FR"/>
        </w:rPr>
        <w:t>annuaire</w:t>
      </w:r>
      <w:proofErr w:type="spellEnd"/>
      <w:proofErr w:type="gramStart"/>
      <w:r w:rsidR="00DB60FF" w:rsidRPr="00DB60FF">
        <w:rPr>
          <w:lang w:val="fr-FR"/>
        </w:rPr>
        <w:t xml:space="preserve"> </w:t>
      </w:r>
      <w:r w:rsidR="00C24077">
        <w:rPr>
          <w:lang w:val="fr-CH"/>
        </w:rPr>
        <w:t>«</w:t>
      </w:r>
      <w:r w:rsidR="00DB60FF" w:rsidRPr="00DB60FF">
        <w:rPr>
          <w:lang w:val="fr-CH"/>
        </w:rPr>
        <w:t>The</w:t>
      </w:r>
      <w:proofErr w:type="gramEnd"/>
      <w:r w:rsidR="00DB60FF" w:rsidRPr="00DB60FF">
        <w:rPr>
          <w:lang w:val="fr-CH"/>
        </w:rPr>
        <w:t xml:space="preserve"> World of </w:t>
      </w:r>
      <w:proofErr w:type="spellStart"/>
      <w:r w:rsidR="00DB60FF" w:rsidRPr="00DB60FF">
        <w:rPr>
          <w:lang w:val="fr-CH"/>
        </w:rPr>
        <w:t>Organic</w:t>
      </w:r>
      <w:proofErr w:type="spellEnd"/>
      <w:r w:rsidR="00DB60FF" w:rsidRPr="00DB60FF">
        <w:rPr>
          <w:lang w:val="fr-CH"/>
        </w:rPr>
        <w:t xml:space="preserve"> Agriculture</w:t>
      </w:r>
      <w:r w:rsidR="00C24077">
        <w:rPr>
          <w:lang w:val="fr-FR"/>
        </w:rPr>
        <w:t>»</w:t>
      </w:r>
      <w:r w:rsidR="00DB60FF" w:rsidRPr="00DB60FF">
        <w:rPr>
          <w:lang w:val="fr-FR"/>
        </w:rPr>
        <w:t xml:space="preserve">, seront présentées </w:t>
      </w:r>
      <w:r w:rsidR="00CA5ADB">
        <w:rPr>
          <w:lang w:val="fr-FR"/>
        </w:rPr>
        <w:t>au salon</w:t>
      </w:r>
      <w:r w:rsidR="00DB60FF" w:rsidRPr="00DB60FF">
        <w:rPr>
          <w:lang w:val="fr-FR"/>
        </w:rPr>
        <w:t xml:space="preserve"> BIOFACH le mardi 13</w:t>
      </w:r>
      <w:r w:rsidR="0048699C">
        <w:rPr>
          <w:lang w:val="fr-FR"/>
        </w:rPr>
        <w:t> </w:t>
      </w:r>
      <w:r w:rsidR="00DB60FF" w:rsidRPr="00DB60FF">
        <w:rPr>
          <w:lang w:val="fr-FR"/>
        </w:rPr>
        <w:t>février</w:t>
      </w:r>
      <w:r w:rsidR="0048699C">
        <w:rPr>
          <w:lang w:val="fr-FR"/>
        </w:rPr>
        <w:t> </w:t>
      </w:r>
      <w:r w:rsidR="00DB60FF" w:rsidRPr="00DB60FF">
        <w:rPr>
          <w:lang w:val="fr-FR"/>
        </w:rPr>
        <w:t>2024, de 17</w:t>
      </w:r>
      <w:r w:rsidR="007C4A8B">
        <w:rPr>
          <w:lang w:val="fr-FR"/>
        </w:rPr>
        <w:t> </w:t>
      </w:r>
      <w:r w:rsidR="00DB60FF" w:rsidRPr="00DB60FF">
        <w:rPr>
          <w:lang w:val="fr-FR"/>
        </w:rPr>
        <w:t>h</w:t>
      </w:r>
      <w:r w:rsidR="00B14B64">
        <w:rPr>
          <w:lang w:val="fr-FR"/>
        </w:rPr>
        <w:t> 00</w:t>
      </w:r>
      <w:r w:rsidR="0048699C">
        <w:rPr>
          <w:lang w:val="fr-FR"/>
        </w:rPr>
        <w:t> </w:t>
      </w:r>
      <w:r w:rsidR="00DB60FF" w:rsidRPr="00DB60FF">
        <w:rPr>
          <w:lang w:val="fr-FR"/>
        </w:rPr>
        <w:t>à</w:t>
      </w:r>
      <w:r w:rsidR="0048699C">
        <w:rPr>
          <w:lang w:val="fr-FR"/>
        </w:rPr>
        <w:t> </w:t>
      </w:r>
      <w:r w:rsidR="00DB60FF" w:rsidRPr="00DB60FF">
        <w:rPr>
          <w:lang w:val="fr-FR"/>
        </w:rPr>
        <w:t>18</w:t>
      </w:r>
      <w:r w:rsidR="007C4A8B">
        <w:rPr>
          <w:lang w:val="fr-FR"/>
        </w:rPr>
        <w:t> </w:t>
      </w:r>
      <w:r w:rsidR="00DB60FF" w:rsidRPr="00DB60FF">
        <w:rPr>
          <w:lang w:val="fr-FR"/>
        </w:rPr>
        <w:t>h</w:t>
      </w:r>
      <w:r w:rsidR="00B14B64">
        <w:rPr>
          <w:lang w:val="fr-FR"/>
        </w:rPr>
        <w:t> 00</w:t>
      </w:r>
      <w:r w:rsidR="00DB60FF" w:rsidRPr="00DB60FF">
        <w:rPr>
          <w:lang w:val="fr-FR"/>
        </w:rPr>
        <w:t xml:space="preserve"> (CET).</w:t>
      </w:r>
    </w:p>
    <w:p w14:paraId="378D5A45" w14:textId="62D45E0C" w:rsidR="00DB60FF" w:rsidRPr="00DB60FF" w:rsidRDefault="0051680C" w:rsidP="00DB60FF">
      <w:pPr>
        <w:pStyle w:val="FiBLmrstandard"/>
        <w:rPr>
          <w:lang w:val="fr-CH" w:eastAsia="de-CH"/>
        </w:rPr>
      </w:pPr>
      <w:r>
        <w:rPr>
          <w:lang w:val="fr-CH" w:eastAsia="de-CH"/>
        </w:rPr>
        <w:t>(</w:t>
      </w:r>
      <w:r w:rsidRPr="0051680C">
        <w:rPr>
          <w:lang w:val="fr-CH" w:eastAsia="de-CH"/>
        </w:rPr>
        <w:t xml:space="preserve">Frick, </w:t>
      </w:r>
      <w:r>
        <w:rPr>
          <w:lang w:val="fr-CH" w:eastAsia="de-CH"/>
        </w:rPr>
        <w:t>13</w:t>
      </w:r>
      <w:r w:rsidRPr="0051680C">
        <w:rPr>
          <w:lang w:val="fr-CH" w:eastAsia="de-CH"/>
        </w:rPr>
        <w:t xml:space="preserve"> février 202</w:t>
      </w:r>
      <w:r>
        <w:rPr>
          <w:lang w:val="fr-CH" w:eastAsia="de-CH"/>
        </w:rPr>
        <w:t xml:space="preserve">4) </w:t>
      </w:r>
      <w:r w:rsidR="00DB60FF" w:rsidRPr="00DB60FF">
        <w:rPr>
          <w:lang w:val="fr-CH" w:eastAsia="de-CH"/>
        </w:rPr>
        <w:t>En</w:t>
      </w:r>
      <w:r w:rsidR="007C4A8B">
        <w:rPr>
          <w:lang w:val="fr-CH" w:eastAsia="de-CH"/>
        </w:rPr>
        <w:t> </w:t>
      </w:r>
      <w:r w:rsidR="00DB60FF" w:rsidRPr="00DB60FF">
        <w:rPr>
          <w:lang w:val="fr-CH" w:eastAsia="de-CH"/>
        </w:rPr>
        <w:t>2022, 18,5</w:t>
      </w:r>
      <w:r w:rsidR="007C4A8B">
        <w:rPr>
          <w:lang w:val="fr-CH" w:eastAsia="de-CH"/>
        </w:rPr>
        <w:t> </w:t>
      </w:r>
      <w:r w:rsidR="00DB60FF" w:rsidRPr="00DB60FF">
        <w:rPr>
          <w:lang w:val="fr-CH" w:eastAsia="de-CH"/>
        </w:rPr>
        <w:t xml:space="preserve">millions </w:t>
      </w:r>
      <w:proofErr w:type="spellStart"/>
      <w:r w:rsidR="00DB60FF" w:rsidRPr="00DB60FF">
        <w:rPr>
          <w:lang w:val="fr-CH" w:eastAsia="de-CH"/>
        </w:rPr>
        <w:t>d</w:t>
      </w:r>
      <w:r w:rsidR="00783897">
        <w:rPr>
          <w:rFonts w:ascii="Times New Roman" w:hAnsi="Times New Roman" w:cs="Times New Roman"/>
          <w:lang w:val="fr-CH" w:eastAsia="de-CH"/>
        </w:rPr>
        <w:t>ʼ</w:t>
      </w:r>
      <w:r w:rsidR="00DB60FF" w:rsidRPr="00DB60FF">
        <w:rPr>
          <w:lang w:val="fr-CH" w:eastAsia="de-CH"/>
        </w:rPr>
        <w:t>hectares</w:t>
      </w:r>
      <w:proofErr w:type="spellEnd"/>
      <w:r w:rsidR="00DB60FF" w:rsidRPr="00DB60FF">
        <w:rPr>
          <w:lang w:val="fr-CH" w:eastAsia="de-CH"/>
        </w:rPr>
        <w:t xml:space="preserve"> de terres agricoles en Europe étaient </w:t>
      </w:r>
      <w:r w:rsidR="007C4A8B">
        <w:rPr>
          <w:lang w:val="fr-CH" w:eastAsia="de-CH"/>
        </w:rPr>
        <w:t>cultivés en bio</w:t>
      </w:r>
      <w:r w:rsidR="00C60102">
        <w:rPr>
          <w:lang w:val="fr-CH" w:eastAsia="de-CH"/>
        </w:rPr>
        <w:t xml:space="preserve">, dont </w:t>
      </w:r>
      <w:r w:rsidR="00DB60FF" w:rsidRPr="00DB60FF">
        <w:rPr>
          <w:lang w:val="fr-CH" w:eastAsia="de-CH"/>
        </w:rPr>
        <w:t>16,9</w:t>
      </w:r>
      <w:r w:rsidR="00FE7BB5">
        <w:rPr>
          <w:lang w:val="fr-CH" w:eastAsia="de-CH"/>
        </w:rPr>
        <w:t> </w:t>
      </w:r>
      <w:r w:rsidR="00DB60FF" w:rsidRPr="00DB60FF">
        <w:rPr>
          <w:lang w:val="fr-CH" w:eastAsia="de-CH"/>
        </w:rPr>
        <w:t xml:space="preserve">millions </w:t>
      </w:r>
      <w:proofErr w:type="spellStart"/>
      <w:r w:rsidR="00DB60FF" w:rsidRPr="00DB60FF">
        <w:rPr>
          <w:lang w:val="fr-CH" w:eastAsia="de-CH"/>
        </w:rPr>
        <w:t>d</w:t>
      </w:r>
      <w:r w:rsidR="00783897">
        <w:rPr>
          <w:rFonts w:ascii="Times New Roman" w:hAnsi="Times New Roman" w:cs="Times New Roman"/>
          <w:lang w:val="fr-CH" w:eastAsia="de-CH"/>
        </w:rPr>
        <w:t>ʼ</w:t>
      </w:r>
      <w:r w:rsidR="00DB60FF" w:rsidRPr="00DB60FF">
        <w:rPr>
          <w:lang w:val="fr-CH" w:eastAsia="de-CH"/>
        </w:rPr>
        <w:t>hectares</w:t>
      </w:r>
      <w:proofErr w:type="spellEnd"/>
      <w:r w:rsidR="00DB60FF" w:rsidRPr="00DB60FF">
        <w:rPr>
          <w:lang w:val="fr-CH" w:eastAsia="de-CH"/>
        </w:rPr>
        <w:t xml:space="preserve"> dans </w:t>
      </w:r>
      <w:proofErr w:type="spellStart"/>
      <w:r w:rsidR="00DB60FF" w:rsidRPr="00DB60FF">
        <w:rPr>
          <w:lang w:val="fr-CH" w:eastAsia="de-CH"/>
        </w:rPr>
        <w:t>l</w:t>
      </w:r>
      <w:r w:rsidR="00783897">
        <w:rPr>
          <w:rFonts w:ascii="Times New Roman" w:hAnsi="Times New Roman" w:cs="Times New Roman"/>
          <w:lang w:val="fr-CH" w:eastAsia="de-CH"/>
        </w:rPr>
        <w:t>ʼ</w:t>
      </w:r>
      <w:r w:rsidR="00DB60FF" w:rsidRPr="00DB60FF">
        <w:rPr>
          <w:lang w:val="fr-CH" w:eastAsia="de-CH"/>
        </w:rPr>
        <w:t>Union</w:t>
      </w:r>
      <w:proofErr w:type="spellEnd"/>
      <w:r w:rsidR="00DB60FF" w:rsidRPr="00DB60FF">
        <w:rPr>
          <w:lang w:val="fr-CH" w:eastAsia="de-CH"/>
        </w:rPr>
        <w:t xml:space="preserve"> </w:t>
      </w:r>
      <w:r w:rsidR="00FE7BB5">
        <w:rPr>
          <w:lang w:val="fr-CH" w:eastAsia="de-CH"/>
        </w:rPr>
        <w:t>e</w:t>
      </w:r>
      <w:r w:rsidR="00DB60FF" w:rsidRPr="00DB60FF">
        <w:rPr>
          <w:lang w:val="fr-CH" w:eastAsia="de-CH"/>
        </w:rPr>
        <w:t>uropéenne (</w:t>
      </w:r>
      <w:r w:rsidR="006970ED">
        <w:rPr>
          <w:lang w:val="fr-CH" w:eastAsia="de-CH"/>
        </w:rPr>
        <w:t>UE</w:t>
      </w:r>
      <w:r w:rsidR="00DB60FF" w:rsidRPr="00DB60FF">
        <w:rPr>
          <w:lang w:val="fr-CH" w:eastAsia="de-CH"/>
        </w:rPr>
        <w:t xml:space="preserve">). La France </w:t>
      </w:r>
      <w:r w:rsidR="002602E3">
        <w:rPr>
          <w:lang w:val="fr-CH" w:eastAsia="de-CH"/>
        </w:rPr>
        <w:t>est restée en tête</w:t>
      </w:r>
      <w:r w:rsidR="00DB60FF" w:rsidRPr="00DB60FF">
        <w:rPr>
          <w:lang w:val="fr-CH" w:eastAsia="de-CH"/>
        </w:rPr>
        <w:t xml:space="preserve"> en termes de </w:t>
      </w:r>
      <w:r w:rsidR="004A0D8C">
        <w:rPr>
          <w:lang w:val="fr-CH" w:eastAsia="de-CH"/>
        </w:rPr>
        <w:t xml:space="preserve">surface agricole </w:t>
      </w:r>
      <w:r w:rsidR="00DB60FF" w:rsidRPr="00DB60FF">
        <w:rPr>
          <w:lang w:val="fr-CH" w:eastAsia="de-CH"/>
        </w:rPr>
        <w:t>biologique avec 2,9</w:t>
      </w:r>
      <w:r w:rsidR="004A0D8C">
        <w:rPr>
          <w:lang w:val="fr-CH" w:eastAsia="de-CH"/>
        </w:rPr>
        <w:t> </w:t>
      </w:r>
      <w:r w:rsidR="00DB60FF" w:rsidRPr="00DB60FF">
        <w:rPr>
          <w:lang w:val="fr-CH" w:eastAsia="de-CH"/>
        </w:rPr>
        <w:t xml:space="preserve">millions </w:t>
      </w:r>
      <w:proofErr w:type="spellStart"/>
      <w:r w:rsidR="00DB60FF" w:rsidRPr="00DB60FF">
        <w:rPr>
          <w:lang w:val="fr-CH" w:eastAsia="de-CH"/>
        </w:rPr>
        <w:t>d</w:t>
      </w:r>
      <w:r w:rsidR="00783897">
        <w:rPr>
          <w:rFonts w:ascii="Times New Roman" w:hAnsi="Times New Roman" w:cs="Times New Roman"/>
          <w:lang w:val="fr-CH" w:eastAsia="de-CH"/>
        </w:rPr>
        <w:t>ʼ</w:t>
      </w:r>
      <w:r w:rsidR="00DB60FF" w:rsidRPr="00DB60FF">
        <w:rPr>
          <w:lang w:val="fr-CH" w:eastAsia="de-CH"/>
        </w:rPr>
        <w:t>hectares</w:t>
      </w:r>
      <w:proofErr w:type="spellEnd"/>
      <w:r w:rsidR="00DB60FF" w:rsidRPr="00DB60FF">
        <w:rPr>
          <w:lang w:val="fr-CH" w:eastAsia="de-CH"/>
        </w:rPr>
        <w:t xml:space="preserve">, suivie </w:t>
      </w:r>
      <w:r w:rsidR="004A0D8C">
        <w:rPr>
          <w:lang w:val="fr-CH" w:eastAsia="de-CH"/>
        </w:rPr>
        <w:t>de</w:t>
      </w:r>
      <w:r w:rsidR="004A0D8C" w:rsidRPr="00DB60FF">
        <w:rPr>
          <w:lang w:val="fr-CH" w:eastAsia="de-CH"/>
        </w:rPr>
        <w:t xml:space="preserve"> </w:t>
      </w:r>
      <w:proofErr w:type="spellStart"/>
      <w:r w:rsidR="00DB60FF" w:rsidRPr="00DB60FF">
        <w:rPr>
          <w:lang w:val="fr-CH" w:eastAsia="de-CH"/>
        </w:rPr>
        <w:t>l</w:t>
      </w:r>
      <w:r w:rsidR="00783897">
        <w:rPr>
          <w:rFonts w:ascii="Times New Roman" w:hAnsi="Times New Roman" w:cs="Times New Roman"/>
          <w:lang w:val="fr-CH" w:eastAsia="de-CH"/>
        </w:rPr>
        <w:t>ʼ</w:t>
      </w:r>
      <w:r w:rsidR="00DB60FF" w:rsidRPr="00DB60FF">
        <w:rPr>
          <w:lang w:val="fr-CH" w:eastAsia="de-CH"/>
        </w:rPr>
        <w:t>Espagne</w:t>
      </w:r>
      <w:proofErr w:type="spellEnd"/>
      <w:r w:rsidR="00DB60FF" w:rsidRPr="00DB60FF">
        <w:rPr>
          <w:lang w:val="fr-CH" w:eastAsia="de-CH"/>
        </w:rPr>
        <w:t xml:space="preserve"> (2,7</w:t>
      </w:r>
      <w:r w:rsidR="004A0D8C">
        <w:rPr>
          <w:lang w:val="fr-CH" w:eastAsia="de-CH"/>
        </w:rPr>
        <w:t> </w:t>
      </w:r>
      <w:r w:rsidR="00DB60FF" w:rsidRPr="00DB60FF">
        <w:rPr>
          <w:lang w:val="fr-CH" w:eastAsia="de-CH"/>
        </w:rPr>
        <w:t xml:space="preserve">millions </w:t>
      </w:r>
      <w:proofErr w:type="spellStart"/>
      <w:r w:rsidR="00DB60FF" w:rsidRPr="00DB60FF">
        <w:rPr>
          <w:lang w:val="fr-CH" w:eastAsia="de-CH"/>
        </w:rPr>
        <w:t>d</w:t>
      </w:r>
      <w:r w:rsidR="00783897">
        <w:rPr>
          <w:rFonts w:ascii="Times New Roman" w:hAnsi="Times New Roman" w:cs="Times New Roman"/>
          <w:lang w:val="fr-CH" w:eastAsia="de-CH"/>
        </w:rPr>
        <w:t>ʼ</w:t>
      </w:r>
      <w:r w:rsidR="00DB60FF" w:rsidRPr="00DB60FF">
        <w:rPr>
          <w:lang w:val="fr-CH" w:eastAsia="de-CH"/>
        </w:rPr>
        <w:t>hectares</w:t>
      </w:r>
      <w:proofErr w:type="spellEnd"/>
      <w:r w:rsidR="00DB60FF" w:rsidRPr="00DB60FF">
        <w:rPr>
          <w:lang w:val="fr-CH" w:eastAsia="de-CH"/>
        </w:rPr>
        <w:t xml:space="preserve">), </w:t>
      </w:r>
      <w:r w:rsidR="004A0D8C">
        <w:rPr>
          <w:lang w:val="fr-CH" w:eastAsia="de-CH"/>
        </w:rPr>
        <w:t xml:space="preserve">de </w:t>
      </w:r>
      <w:proofErr w:type="spellStart"/>
      <w:r w:rsidR="00DB60FF" w:rsidRPr="00DB60FF">
        <w:rPr>
          <w:lang w:val="fr-CH" w:eastAsia="de-CH"/>
        </w:rPr>
        <w:t>l</w:t>
      </w:r>
      <w:r w:rsidR="00783897">
        <w:rPr>
          <w:rFonts w:ascii="Times New Roman" w:hAnsi="Times New Roman" w:cs="Times New Roman"/>
          <w:lang w:val="fr-CH" w:eastAsia="de-CH"/>
        </w:rPr>
        <w:t>ʼ</w:t>
      </w:r>
      <w:r w:rsidR="00DB60FF" w:rsidRPr="00DB60FF">
        <w:rPr>
          <w:lang w:val="fr-CH" w:eastAsia="de-CH"/>
        </w:rPr>
        <w:t>Italie</w:t>
      </w:r>
      <w:proofErr w:type="spellEnd"/>
      <w:r w:rsidR="00DB60FF" w:rsidRPr="00DB60FF">
        <w:rPr>
          <w:lang w:val="fr-CH" w:eastAsia="de-CH"/>
        </w:rPr>
        <w:t xml:space="preserve"> (2,3</w:t>
      </w:r>
      <w:r w:rsidR="00DB60FF">
        <w:rPr>
          <w:lang w:val="fr-CH" w:eastAsia="de-CH"/>
        </w:rPr>
        <w:t> </w:t>
      </w:r>
      <w:r w:rsidR="00DB60FF" w:rsidRPr="00DB60FF">
        <w:rPr>
          <w:lang w:val="fr-CH" w:eastAsia="de-CH"/>
        </w:rPr>
        <w:t xml:space="preserve">millions </w:t>
      </w:r>
      <w:proofErr w:type="spellStart"/>
      <w:r w:rsidR="00DB60FF" w:rsidRPr="00DB60FF">
        <w:rPr>
          <w:lang w:val="fr-CH" w:eastAsia="de-CH"/>
        </w:rPr>
        <w:t>d</w:t>
      </w:r>
      <w:r w:rsidR="00783897">
        <w:rPr>
          <w:rFonts w:ascii="Times New Roman" w:hAnsi="Times New Roman" w:cs="Times New Roman"/>
          <w:lang w:val="fr-CH" w:eastAsia="de-CH"/>
        </w:rPr>
        <w:t>ʼ</w:t>
      </w:r>
      <w:r w:rsidR="00DB60FF" w:rsidRPr="00DB60FF">
        <w:rPr>
          <w:lang w:val="fr-CH" w:eastAsia="de-CH"/>
        </w:rPr>
        <w:t>hectares</w:t>
      </w:r>
      <w:proofErr w:type="spellEnd"/>
      <w:r w:rsidR="00DB60FF" w:rsidRPr="00DB60FF">
        <w:rPr>
          <w:lang w:val="fr-CH" w:eastAsia="de-CH"/>
        </w:rPr>
        <w:t xml:space="preserve">) et </w:t>
      </w:r>
      <w:r w:rsidR="004A0D8C">
        <w:rPr>
          <w:lang w:val="fr-CH" w:eastAsia="de-CH"/>
        </w:rPr>
        <w:t xml:space="preserve">de </w:t>
      </w:r>
      <w:proofErr w:type="spellStart"/>
      <w:r w:rsidR="00DB60FF" w:rsidRPr="00DB60FF">
        <w:rPr>
          <w:lang w:val="fr-CH" w:eastAsia="de-CH"/>
        </w:rPr>
        <w:t>l</w:t>
      </w:r>
      <w:r w:rsidR="00783897">
        <w:rPr>
          <w:rFonts w:ascii="Times New Roman" w:hAnsi="Times New Roman" w:cs="Times New Roman"/>
          <w:lang w:val="fr-CH" w:eastAsia="de-CH"/>
        </w:rPr>
        <w:t>ʼ</w:t>
      </w:r>
      <w:r w:rsidR="00DB60FF" w:rsidRPr="00DB60FF">
        <w:rPr>
          <w:lang w:val="fr-CH" w:eastAsia="de-CH"/>
        </w:rPr>
        <w:t>Allemagne</w:t>
      </w:r>
      <w:proofErr w:type="spellEnd"/>
      <w:r w:rsidR="00DB60FF" w:rsidRPr="00DB60FF">
        <w:rPr>
          <w:lang w:val="fr-CH" w:eastAsia="de-CH"/>
        </w:rPr>
        <w:t xml:space="preserve"> (1,9</w:t>
      </w:r>
      <w:r w:rsidR="004A0D8C">
        <w:rPr>
          <w:lang w:val="fr-CH" w:eastAsia="de-CH"/>
        </w:rPr>
        <w:t> </w:t>
      </w:r>
      <w:r w:rsidR="00DB60FF" w:rsidRPr="00DB60FF">
        <w:rPr>
          <w:lang w:val="fr-CH" w:eastAsia="de-CH"/>
        </w:rPr>
        <w:t xml:space="preserve">million </w:t>
      </w:r>
      <w:proofErr w:type="spellStart"/>
      <w:r w:rsidR="00DB60FF" w:rsidRPr="00DB60FF">
        <w:rPr>
          <w:lang w:val="fr-CH" w:eastAsia="de-CH"/>
        </w:rPr>
        <w:t>d</w:t>
      </w:r>
      <w:r w:rsidR="00783897">
        <w:rPr>
          <w:rFonts w:ascii="Times New Roman" w:hAnsi="Times New Roman" w:cs="Times New Roman"/>
          <w:lang w:val="fr-CH" w:eastAsia="de-CH"/>
        </w:rPr>
        <w:t>ʼ</w:t>
      </w:r>
      <w:r w:rsidR="00DB60FF" w:rsidRPr="00DB60FF">
        <w:rPr>
          <w:lang w:val="fr-CH" w:eastAsia="de-CH"/>
        </w:rPr>
        <w:t>hectares</w:t>
      </w:r>
      <w:proofErr w:type="spellEnd"/>
      <w:r w:rsidR="00DB60FF" w:rsidRPr="00DB60FF">
        <w:rPr>
          <w:lang w:val="fr-CH" w:eastAsia="de-CH"/>
        </w:rPr>
        <w:t>).</w:t>
      </w:r>
    </w:p>
    <w:p w14:paraId="2E77B208" w14:textId="21DC1243" w:rsidR="00DB60FF" w:rsidRDefault="00AB6155" w:rsidP="00DB60FF">
      <w:pPr>
        <w:pStyle w:val="FiBLmrsubheader"/>
        <w:rPr>
          <w:lang w:val="fr-CH"/>
        </w:rPr>
      </w:pPr>
      <w:r>
        <w:rPr>
          <w:lang w:val="fr-CH"/>
        </w:rPr>
        <w:t>La surface agricole biologique</w:t>
      </w:r>
      <w:r w:rsidR="00DB60FF" w:rsidRPr="00DB60FF">
        <w:rPr>
          <w:lang w:val="fr-CH"/>
        </w:rPr>
        <w:t xml:space="preserve"> </w:t>
      </w:r>
      <w:r>
        <w:rPr>
          <w:lang w:val="fr-CH"/>
        </w:rPr>
        <w:t>a</w:t>
      </w:r>
      <w:r w:rsidRPr="00DB60FF">
        <w:rPr>
          <w:lang w:val="fr-CH"/>
        </w:rPr>
        <w:t xml:space="preserve"> </w:t>
      </w:r>
      <w:r w:rsidR="00DB60FF" w:rsidRPr="00DB60FF">
        <w:rPr>
          <w:lang w:val="fr-CH"/>
        </w:rPr>
        <w:t>augmenté de plus de 0,8</w:t>
      </w:r>
      <w:r>
        <w:rPr>
          <w:lang w:val="fr-CH"/>
        </w:rPr>
        <w:t> </w:t>
      </w:r>
      <w:r w:rsidR="00DB60FF" w:rsidRPr="00DB60FF">
        <w:rPr>
          <w:lang w:val="fr-CH"/>
        </w:rPr>
        <w:t xml:space="preserve">million </w:t>
      </w:r>
      <w:proofErr w:type="spellStart"/>
      <w:r w:rsidR="00DB60FF" w:rsidRPr="00DB60FF">
        <w:rPr>
          <w:lang w:val="fr-CH"/>
        </w:rPr>
        <w:t>d</w:t>
      </w:r>
      <w:r w:rsidR="00783897">
        <w:rPr>
          <w:rFonts w:ascii="Arial" w:hAnsi="Arial" w:cs="Arial"/>
          <w:lang w:val="fr-CH"/>
        </w:rPr>
        <w:t>ʼ</w:t>
      </w:r>
      <w:r w:rsidR="00DB60FF" w:rsidRPr="00DB60FF">
        <w:rPr>
          <w:lang w:val="fr-CH"/>
        </w:rPr>
        <w:t>hectares</w:t>
      </w:r>
      <w:proofErr w:type="spellEnd"/>
      <w:r w:rsidR="00DB60FF" w:rsidRPr="00DB60FF">
        <w:rPr>
          <w:lang w:val="fr-CH"/>
        </w:rPr>
        <w:t xml:space="preserve"> dans </w:t>
      </w:r>
      <w:proofErr w:type="spellStart"/>
      <w:r w:rsidR="00DB60FF" w:rsidRPr="00DB60FF">
        <w:rPr>
          <w:lang w:val="fr-CH"/>
        </w:rPr>
        <w:t>l</w:t>
      </w:r>
      <w:r w:rsidR="00783897">
        <w:rPr>
          <w:rFonts w:ascii="Arial" w:hAnsi="Arial" w:cs="Arial"/>
          <w:lang w:val="fr-CH"/>
        </w:rPr>
        <w:t>ʼ</w:t>
      </w:r>
      <w:r w:rsidR="00DB60FF" w:rsidRPr="00DB60FF">
        <w:rPr>
          <w:lang w:val="fr-CH"/>
        </w:rPr>
        <w:t>UE</w:t>
      </w:r>
      <w:proofErr w:type="spellEnd"/>
    </w:p>
    <w:p w14:paraId="0B4E6CEA" w14:textId="1643588D" w:rsidR="00DB60FF" w:rsidRPr="00DB60FF" w:rsidRDefault="00AB6155" w:rsidP="00DB60FF">
      <w:pPr>
        <w:pStyle w:val="FiBLmrstandard"/>
        <w:rPr>
          <w:lang w:val="fr-CH"/>
        </w:rPr>
      </w:pPr>
      <w:r>
        <w:rPr>
          <w:lang w:val="fr-CH"/>
        </w:rPr>
        <w:t xml:space="preserve">La surface agricole biologique </w:t>
      </w:r>
      <w:proofErr w:type="spellStart"/>
      <w:r w:rsidR="00CD6E5C">
        <w:rPr>
          <w:lang w:val="fr-CH"/>
        </w:rPr>
        <w:t>s</w:t>
      </w:r>
      <w:r w:rsidR="00783897">
        <w:rPr>
          <w:rFonts w:ascii="Times New Roman" w:hAnsi="Times New Roman" w:cs="Times New Roman"/>
          <w:lang w:val="fr-CH"/>
        </w:rPr>
        <w:t>ʼ</w:t>
      </w:r>
      <w:r w:rsidR="00CD6E5C">
        <w:rPr>
          <w:lang w:val="fr-CH"/>
        </w:rPr>
        <w:t>est</w:t>
      </w:r>
      <w:proofErr w:type="spellEnd"/>
      <w:r w:rsidR="00CD6E5C">
        <w:rPr>
          <w:lang w:val="fr-CH"/>
        </w:rPr>
        <w:t xml:space="preserve"> accrue</w:t>
      </w:r>
      <w:r w:rsidR="00DB60FF" w:rsidRPr="00DB60FF">
        <w:rPr>
          <w:lang w:val="fr-CH"/>
        </w:rPr>
        <w:t xml:space="preserve"> de plus de 0,8</w:t>
      </w:r>
      <w:r w:rsidR="000928B5">
        <w:rPr>
          <w:lang w:val="fr-CH"/>
        </w:rPr>
        <w:t> </w:t>
      </w:r>
      <w:r w:rsidR="00DB60FF" w:rsidRPr="00DB60FF">
        <w:rPr>
          <w:lang w:val="fr-CH"/>
        </w:rPr>
        <w:t xml:space="preserve">million </w:t>
      </w:r>
      <w:proofErr w:type="spellStart"/>
      <w:r w:rsidR="00DB60FF" w:rsidRPr="00DB60FF">
        <w:rPr>
          <w:lang w:val="fr-CH"/>
        </w:rPr>
        <w:t>d</w:t>
      </w:r>
      <w:r w:rsidR="00783897">
        <w:rPr>
          <w:rFonts w:ascii="Times New Roman" w:hAnsi="Times New Roman" w:cs="Times New Roman"/>
          <w:lang w:val="fr-CH"/>
        </w:rPr>
        <w:t>ʼ</w:t>
      </w:r>
      <w:r w:rsidR="00DB60FF" w:rsidRPr="00DB60FF">
        <w:rPr>
          <w:lang w:val="fr-CH"/>
        </w:rPr>
        <w:t>hectares</w:t>
      </w:r>
      <w:proofErr w:type="spellEnd"/>
      <w:r w:rsidR="00DB60FF" w:rsidRPr="00DB60FF">
        <w:rPr>
          <w:lang w:val="fr-CH"/>
        </w:rPr>
        <w:t xml:space="preserve">, </w:t>
      </w:r>
      <w:r w:rsidR="000928B5">
        <w:rPr>
          <w:lang w:val="fr-CH"/>
        </w:rPr>
        <w:t xml:space="preserve">soit </w:t>
      </w:r>
      <w:r w:rsidR="00DB60FF" w:rsidRPr="00DB60FF">
        <w:rPr>
          <w:lang w:val="fr-CH"/>
        </w:rPr>
        <w:t>une augmentation de 5,1</w:t>
      </w:r>
      <w:r w:rsidR="000928B5">
        <w:rPr>
          <w:lang w:val="fr-CH"/>
        </w:rPr>
        <w:t> </w:t>
      </w:r>
      <w:r w:rsidR="00DB60FF" w:rsidRPr="00DB60FF">
        <w:rPr>
          <w:lang w:val="fr-CH"/>
        </w:rPr>
        <w:t xml:space="preserve">pour cent dans </w:t>
      </w:r>
      <w:proofErr w:type="spellStart"/>
      <w:r w:rsidR="00DB60FF" w:rsidRPr="00DB60FF">
        <w:rPr>
          <w:lang w:val="fr-CH"/>
        </w:rPr>
        <w:t>l</w:t>
      </w:r>
      <w:r w:rsidR="00783897">
        <w:rPr>
          <w:rFonts w:ascii="Times New Roman" w:hAnsi="Times New Roman" w:cs="Times New Roman"/>
          <w:lang w:val="fr-CH"/>
        </w:rPr>
        <w:t>ʼ</w:t>
      </w:r>
      <w:r w:rsidR="00DB60FF" w:rsidRPr="00DB60FF">
        <w:rPr>
          <w:lang w:val="fr-CH"/>
        </w:rPr>
        <w:t>UE</w:t>
      </w:r>
      <w:proofErr w:type="spellEnd"/>
      <w:r w:rsidR="00DB60FF" w:rsidRPr="00DB60FF">
        <w:rPr>
          <w:lang w:val="fr-CH"/>
        </w:rPr>
        <w:t xml:space="preserve"> et une augmentation de 1,0</w:t>
      </w:r>
      <w:r w:rsidR="000928B5">
        <w:rPr>
          <w:lang w:val="fr-CH"/>
        </w:rPr>
        <w:t> </w:t>
      </w:r>
      <w:r w:rsidR="00DB60FF" w:rsidRPr="00DB60FF">
        <w:rPr>
          <w:lang w:val="fr-CH"/>
        </w:rPr>
        <w:t>pour cent en Europe. Par rapport à</w:t>
      </w:r>
      <w:r w:rsidR="00CD6E5C">
        <w:rPr>
          <w:lang w:val="fr-CH"/>
        </w:rPr>
        <w:t> </w:t>
      </w:r>
      <w:r w:rsidR="00DB60FF" w:rsidRPr="00DB60FF">
        <w:rPr>
          <w:lang w:val="fr-CH"/>
        </w:rPr>
        <w:t xml:space="preserve">2021, la Grèce et </w:t>
      </w:r>
      <w:proofErr w:type="spellStart"/>
      <w:r w:rsidR="00DB60FF" w:rsidRPr="00DB60FF">
        <w:rPr>
          <w:lang w:val="fr-CH"/>
        </w:rPr>
        <w:t>l</w:t>
      </w:r>
      <w:r w:rsidR="00783897">
        <w:rPr>
          <w:rFonts w:ascii="Times New Roman" w:hAnsi="Times New Roman" w:cs="Times New Roman"/>
          <w:lang w:val="fr-CH"/>
        </w:rPr>
        <w:t>ʼ</w:t>
      </w:r>
      <w:r w:rsidR="00DB60FF" w:rsidRPr="00DB60FF">
        <w:rPr>
          <w:lang w:val="fr-CH"/>
        </w:rPr>
        <w:t>Italie</w:t>
      </w:r>
      <w:proofErr w:type="spellEnd"/>
      <w:r w:rsidR="00DB60FF" w:rsidRPr="00DB60FF">
        <w:rPr>
          <w:lang w:val="fr-CH"/>
        </w:rPr>
        <w:t xml:space="preserve"> ont </w:t>
      </w:r>
      <w:r w:rsidR="00E539FF">
        <w:rPr>
          <w:lang w:val="fr-CH"/>
        </w:rPr>
        <w:t>enregistré</w:t>
      </w:r>
      <w:r w:rsidR="00E539FF" w:rsidRPr="00DB60FF">
        <w:rPr>
          <w:lang w:val="fr-CH"/>
        </w:rPr>
        <w:t xml:space="preserve"> </w:t>
      </w:r>
      <w:r w:rsidR="00DB60FF" w:rsidRPr="00DB60FF">
        <w:rPr>
          <w:lang w:val="fr-CH"/>
        </w:rPr>
        <w:t xml:space="preserve">les plus fortes </w:t>
      </w:r>
      <w:r w:rsidR="00444A88">
        <w:rPr>
          <w:lang w:val="fr-CH"/>
        </w:rPr>
        <w:t>hausses</w:t>
      </w:r>
      <w:r w:rsidR="00DB60FF" w:rsidRPr="00DB60FF">
        <w:rPr>
          <w:lang w:val="fr-CH"/>
        </w:rPr>
        <w:t>, avec respectivement 0,4</w:t>
      </w:r>
      <w:r w:rsidR="00E539FF">
        <w:rPr>
          <w:lang w:val="fr-CH"/>
        </w:rPr>
        <w:t> </w:t>
      </w:r>
      <w:r w:rsidR="00DB60FF" w:rsidRPr="00DB60FF">
        <w:rPr>
          <w:lang w:val="fr-CH"/>
        </w:rPr>
        <w:t xml:space="preserve">million </w:t>
      </w:r>
      <w:proofErr w:type="spellStart"/>
      <w:r w:rsidR="00DB60FF" w:rsidRPr="00DB60FF">
        <w:rPr>
          <w:lang w:val="fr-CH"/>
        </w:rPr>
        <w:t>d</w:t>
      </w:r>
      <w:r w:rsidR="00783897">
        <w:rPr>
          <w:rFonts w:ascii="Times New Roman" w:hAnsi="Times New Roman" w:cs="Times New Roman"/>
          <w:lang w:val="fr-CH"/>
        </w:rPr>
        <w:t>ʼ</w:t>
      </w:r>
      <w:r w:rsidR="00DB60FF" w:rsidRPr="00DB60FF">
        <w:rPr>
          <w:lang w:val="fr-CH"/>
        </w:rPr>
        <w:t>hectares</w:t>
      </w:r>
      <w:proofErr w:type="spellEnd"/>
      <w:r w:rsidR="00DB60FF" w:rsidRPr="00DB60FF">
        <w:rPr>
          <w:lang w:val="fr-CH"/>
        </w:rPr>
        <w:t xml:space="preserve"> et 0,2</w:t>
      </w:r>
      <w:r w:rsidR="00E539FF">
        <w:rPr>
          <w:lang w:val="fr-CH"/>
        </w:rPr>
        <w:t> </w:t>
      </w:r>
      <w:r w:rsidR="00DB60FF" w:rsidRPr="00DB60FF">
        <w:rPr>
          <w:lang w:val="fr-CH"/>
        </w:rPr>
        <w:t xml:space="preserve">million </w:t>
      </w:r>
      <w:proofErr w:type="spellStart"/>
      <w:r w:rsidR="00DB60FF" w:rsidRPr="00DB60FF">
        <w:rPr>
          <w:lang w:val="fr-CH"/>
        </w:rPr>
        <w:t>d</w:t>
      </w:r>
      <w:r w:rsidR="00783897">
        <w:rPr>
          <w:rFonts w:ascii="Times New Roman" w:hAnsi="Times New Roman" w:cs="Times New Roman"/>
          <w:lang w:val="fr-CH"/>
        </w:rPr>
        <w:t>ʼ</w:t>
      </w:r>
      <w:r w:rsidR="00DB60FF" w:rsidRPr="00DB60FF">
        <w:rPr>
          <w:lang w:val="fr-CH"/>
        </w:rPr>
        <w:t>hectares</w:t>
      </w:r>
      <w:proofErr w:type="spellEnd"/>
      <w:r w:rsidR="00DB60FF" w:rsidRPr="00DB60FF">
        <w:rPr>
          <w:lang w:val="fr-CH"/>
        </w:rPr>
        <w:t>.</w:t>
      </w:r>
    </w:p>
    <w:p w14:paraId="31424DD8" w14:textId="2E5DFF53" w:rsidR="00DB60FF" w:rsidRDefault="00DB60FF" w:rsidP="00DB60FF">
      <w:pPr>
        <w:pStyle w:val="FiBLmrsubheader"/>
        <w:rPr>
          <w:lang w:val="fr-FR"/>
        </w:rPr>
      </w:pPr>
      <w:r w:rsidRPr="00DB60FF">
        <w:rPr>
          <w:lang w:val="fr-FR"/>
        </w:rPr>
        <w:t xml:space="preserve">Le Liechtenstein </w:t>
      </w:r>
      <w:r w:rsidR="006970ED">
        <w:rPr>
          <w:lang w:val="fr-FR"/>
        </w:rPr>
        <w:t>détenait</w:t>
      </w:r>
      <w:r w:rsidRPr="00DB60FF">
        <w:rPr>
          <w:lang w:val="fr-FR"/>
        </w:rPr>
        <w:t xml:space="preserve"> la plus grande part </w:t>
      </w:r>
      <w:r w:rsidR="00366408">
        <w:rPr>
          <w:lang w:val="fr-FR"/>
        </w:rPr>
        <w:t>bio</w:t>
      </w:r>
      <w:r w:rsidR="00366408" w:rsidRPr="00DB60FF">
        <w:rPr>
          <w:lang w:val="fr-FR"/>
        </w:rPr>
        <w:t xml:space="preserve"> </w:t>
      </w:r>
      <w:r w:rsidR="006970ED">
        <w:rPr>
          <w:lang w:val="fr-FR"/>
        </w:rPr>
        <w:t>a</w:t>
      </w:r>
      <w:r w:rsidR="00604AA5">
        <w:rPr>
          <w:lang w:val="fr-FR"/>
        </w:rPr>
        <w:t>u monde</w:t>
      </w:r>
      <w:r w:rsidR="006970ED">
        <w:rPr>
          <w:lang w:val="fr-FR"/>
        </w:rPr>
        <w:t xml:space="preserve"> </w:t>
      </w:r>
      <w:r w:rsidR="00604AA5">
        <w:rPr>
          <w:lang w:val="fr-FR"/>
        </w:rPr>
        <w:t>par rapport à sa</w:t>
      </w:r>
      <w:r w:rsidRPr="00DB60FF">
        <w:rPr>
          <w:lang w:val="fr-FR"/>
        </w:rPr>
        <w:t xml:space="preserve"> </w:t>
      </w:r>
      <w:r w:rsidR="00604AA5">
        <w:rPr>
          <w:lang w:val="fr-FR"/>
        </w:rPr>
        <w:t>surface agricole</w:t>
      </w:r>
    </w:p>
    <w:p w14:paraId="1AE66887" w14:textId="0BFB5240" w:rsidR="00DB60FF" w:rsidRPr="00DB60FF" w:rsidRDefault="00DB60FF" w:rsidP="00DB60FF">
      <w:pPr>
        <w:pStyle w:val="FiBLmrstandard"/>
        <w:rPr>
          <w:lang w:val="fr-FR"/>
        </w:rPr>
      </w:pPr>
      <w:r w:rsidRPr="00DB60FF">
        <w:rPr>
          <w:lang w:val="fr-FR"/>
        </w:rPr>
        <w:t>En</w:t>
      </w:r>
      <w:r w:rsidR="00AF7880">
        <w:rPr>
          <w:lang w:val="fr-FR"/>
        </w:rPr>
        <w:t> </w:t>
      </w:r>
      <w:r w:rsidRPr="00DB60FF">
        <w:rPr>
          <w:lang w:val="fr-FR"/>
        </w:rPr>
        <w:t>2022, les terres agricoles biologiques en Europe constituaient 3,7</w:t>
      </w:r>
      <w:r w:rsidR="00082DCF">
        <w:rPr>
          <w:lang w:val="fr-FR"/>
        </w:rPr>
        <w:t> </w:t>
      </w:r>
      <w:r w:rsidRPr="00DB60FF">
        <w:rPr>
          <w:lang w:val="fr-FR"/>
        </w:rPr>
        <w:t xml:space="preserve">pour cent de </w:t>
      </w:r>
      <w:proofErr w:type="spellStart"/>
      <w:r w:rsidRPr="00DB60FF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DB60FF">
        <w:rPr>
          <w:lang w:val="fr-FR"/>
        </w:rPr>
        <w:t>ensemble</w:t>
      </w:r>
      <w:proofErr w:type="spellEnd"/>
      <w:r w:rsidRPr="00DB60FF">
        <w:rPr>
          <w:lang w:val="fr-FR"/>
        </w:rPr>
        <w:t xml:space="preserve"> des terres agricoles, tandis </w:t>
      </w:r>
      <w:proofErr w:type="spellStart"/>
      <w:r w:rsidRPr="00DB60FF">
        <w:rPr>
          <w:lang w:val="fr-FR"/>
        </w:rPr>
        <w:t>qu</w:t>
      </w:r>
      <w:r w:rsidR="00783897">
        <w:rPr>
          <w:rFonts w:ascii="Times New Roman" w:hAnsi="Times New Roman" w:cs="Times New Roman"/>
          <w:lang w:val="fr-FR"/>
        </w:rPr>
        <w:t>ʼ</w:t>
      </w:r>
      <w:r w:rsidRPr="00DB60FF">
        <w:rPr>
          <w:lang w:val="fr-FR"/>
        </w:rPr>
        <w:t>elles</w:t>
      </w:r>
      <w:proofErr w:type="spellEnd"/>
      <w:r w:rsidRPr="00DB60FF">
        <w:rPr>
          <w:lang w:val="fr-FR"/>
        </w:rPr>
        <w:t xml:space="preserve"> représentaient 10,4</w:t>
      </w:r>
      <w:r w:rsidR="00082DCF">
        <w:rPr>
          <w:lang w:val="fr-FR"/>
        </w:rPr>
        <w:t> </w:t>
      </w:r>
      <w:r w:rsidRPr="00DB60FF">
        <w:rPr>
          <w:lang w:val="fr-FR"/>
        </w:rPr>
        <w:t xml:space="preserve">pour cent dans </w:t>
      </w:r>
      <w:proofErr w:type="spellStart"/>
      <w:r w:rsidRPr="00DB60FF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DB60FF">
        <w:rPr>
          <w:lang w:val="fr-FR"/>
        </w:rPr>
        <w:t>Union</w:t>
      </w:r>
      <w:proofErr w:type="spellEnd"/>
      <w:r w:rsidRPr="00DB60FF">
        <w:rPr>
          <w:lang w:val="fr-FR"/>
        </w:rPr>
        <w:t xml:space="preserve"> </w:t>
      </w:r>
      <w:r w:rsidR="00AF7880">
        <w:rPr>
          <w:lang w:val="fr-FR"/>
        </w:rPr>
        <w:t>e</w:t>
      </w:r>
      <w:r w:rsidRPr="00DB60FF">
        <w:rPr>
          <w:lang w:val="fr-FR"/>
        </w:rPr>
        <w:t xml:space="preserve">uropéenne. Parmi les pays européens et à </w:t>
      </w:r>
      <w:proofErr w:type="spellStart"/>
      <w:r w:rsidRPr="00DB60FF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DB60FF">
        <w:rPr>
          <w:lang w:val="fr-FR"/>
        </w:rPr>
        <w:t>échelle</w:t>
      </w:r>
      <w:proofErr w:type="spellEnd"/>
      <w:r w:rsidRPr="00DB60FF">
        <w:rPr>
          <w:lang w:val="fr-FR"/>
        </w:rPr>
        <w:t xml:space="preserve"> mondiale, le Liechtenstein </w:t>
      </w:r>
      <w:r w:rsidR="006970ED">
        <w:rPr>
          <w:lang w:val="fr-FR"/>
        </w:rPr>
        <w:t>détenait</w:t>
      </w:r>
      <w:r w:rsidRPr="00DB60FF">
        <w:rPr>
          <w:lang w:val="fr-FR"/>
        </w:rPr>
        <w:t xml:space="preserve"> la part de surface </w:t>
      </w:r>
      <w:r w:rsidR="00082DCF">
        <w:rPr>
          <w:lang w:val="fr-FR"/>
        </w:rPr>
        <w:t>bio</w:t>
      </w:r>
      <w:r w:rsidR="00082DCF" w:rsidRPr="00DB60FF">
        <w:rPr>
          <w:lang w:val="fr-FR"/>
        </w:rPr>
        <w:t xml:space="preserve"> </w:t>
      </w:r>
      <w:r w:rsidR="00BE263F">
        <w:rPr>
          <w:lang w:val="fr-FR"/>
        </w:rPr>
        <w:t>la plus élevée (</w:t>
      </w:r>
      <w:r w:rsidRPr="00DB60FF">
        <w:rPr>
          <w:lang w:val="fr-FR"/>
        </w:rPr>
        <w:t>43,0 pour cent</w:t>
      </w:r>
      <w:r w:rsidR="00BE263F">
        <w:rPr>
          <w:lang w:val="fr-FR"/>
        </w:rPr>
        <w:t>)</w:t>
      </w:r>
      <w:r w:rsidRPr="00DB60FF">
        <w:rPr>
          <w:lang w:val="fr-FR"/>
        </w:rPr>
        <w:t xml:space="preserve">, suivi de </w:t>
      </w:r>
      <w:proofErr w:type="spellStart"/>
      <w:r w:rsidRPr="00DB60FF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DB60FF">
        <w:rPr>
          <w:lang w:val="fr-FR"/>
        </w:rPr>
        <w:t>Autriche</w:t>
      </w:r>
      <w:proofErr w:type="spellEnd"/>
      <w:r w:rsidRPr="00DB60FF">
        <w:rPr>
          <w:lang w:val="fr-FR"/>
        </w:rPr>
        <w:t xml:space="preserve">, le pays de </w:t>
      </w:r>
      <w:proofErr w:type="spellStart"/>
      <w:r w:rsidRPr="00DB60FF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DB60FF">
        <w:rPr>
          <w:lang w:val="fr-FR"/>
        </w:rPr>
        <w:t>UE</w:t>
      </w:r>
      <w:proofErr w:type="spellEnd"/>
      <w:r w:rsidRPr="00DB60FF">
        <w:rPr>
          <w:lang w:val="fr-FR"/>
        </w:rPr>
        <w:t xml:space="preserve"> </w:t>
      </w:r>
      <w:r w:rsidR="00F04553">
        <w:rPr>
          <w:lang w:val="fr-FR"/>
        </w:rPr>
        <w:t>ayant</w:t>
      </w:r>
      <w:r w:rsidR="00F04553" w:rsidRPr="00DB60FF">
        <w:rPr>
          <w:lang w:val="fr-FR"/>
        </w:rPr>
        <w:t xml:space="preserve"> </w:t>
      </w:r>
      <w:r w:rsidRPr="00DB60FF">
        <w:rPr>
          <w:lang w:val="fr-FR"/>
        </w:rPr>
        <w:t xml:space="preserve">la plus grande part </w:t>
      </w:r>
      <w:r w:rsidR="006C184D">
        <w:rPr>
          <w:lang w:val="fr-FR"/>
        </w:rPr>
        <w:t>bio</w:t>
      </w:r>
      <w:r w:rsidR="006C184D" w:rsidRPr="00DB60FF">
        <w:rPr>
          <w:lang w:val="fr-FR"/>
        </w:rPr>
        <w:t xml:space="preserve"> </w:t>
      </w:r>
      <w:r w:rsidR="006C184D">
        <w:rPr>
          <w:lang w:val="fr-FR"/>
        </w:rPr>
        <w:t>(</w:t>
      </w:r>
      <w:r w:rsidRPr="00DB60FF">
        <w:rPr>
          <w:lang w:val="fr-FR"/>
        </w:rPr>
        <w:t>27,5</w:t>
      </w:r>
      <w:r w:rsidR="006C184D">
        <w:rPr>
          <w:lang w:val="fr-FR"/>
        </w:rPr>
        <w:t> </w:t>
      </w:r>
      <w:r w:rsidRPr="00DB60FF">
        <w:rPr>
          <w:lang w:val="fr-FR"/>
        </w:rPr>
        <w:t>pour cent</w:t>
      </w:r>
      <w:r w:rsidR="006C184D">
        <w:rPr>
          <w:lang w:val="fr-FR"/>
        </w:rPr>
        <w:t>)</w:t>
      </w:r>
      <w:r w:rsidRPr="00DB60FF">
        <w:rPr>
          <w:lang w:val="fr-FR"/>
        </w:rPr>
        <w:t xml:space="preserve">. Quinze pays européens ont </w:t>
      </w:r>
      <w:r w:rsidR="00194113">
        <w:rPr>
          <w:lang w:val="fr-FR"/>
        </w:rPr>
        <w:t>indiqué</w:t>
      </w:r>
      <w:r w:rsidR="00194113" w:rsidRPr="00DB60FF">
        <w:rPr>
          <w:lang w:val="fr-FR"/>
        </w:rPr>
        <w:t xml:space="preserve"> </w:t>
      </w:r>
      <w:proofErr w:type="spellStart"/>
      <w:r w:rsidRPr="00DB60FF">
        <w:rPr>
          <w:lang w:val="fr-FR"/>
        </w:rPr>
        <w:t>qu</w:t>
      </w:r>
      <w:r w:rsidR="00783897">
        <w:rPr>
          <w:rFonts w:ascii="Times New Roman" w:hAnsi="Times New Roman" w:cs="Times New Roman"/>
          <w:lang w:val="fr-FR"/>
        </w:rPr>
        <w:t>ʼ</w:t>
      </w:r>
      <w:r w:rsidRPr="00DB60FF">
        <w:rPr>
          <w:lang w:val="fr-FR"/>
        </w:rPr>
        <w:t>au</w:t>
      </w:r>
      <w:proofErr w:type="spellEnd"/>
      <w:r w:rsidRPr="00DB60FF">
        <w:rPr>
          <w:lang w:val="fr-FR"/>
        </w:rPr>
        <w:t xml:space="preserve"> moins 10</w:t>
      </w:r>
      <w:r w:rsidR="00194113">
        <w:rPr>
          <w:lang w:val="fr-FR"/>
        </w:rPr>
        <w:t> </w:t>
      </w:r>
      <w:r w:rsidRPr="00DB60FF">
        <w:rPr>
          <w:lang w:val="fr-FR"/>
        </w:rPr>
        <w:t xml:space="preserve">pour cent de leurs terres agricoles étaient </w:t>
      </w:r>
      <w:r w:rsidR="006970ED">
        <w:rPr>
          <w:lang w:val="fr-FR"/>
        </w:rPr>
        <w:t>cultivées en bio</w:t>
      </w:r>
      <w:r w:rsidRPr="00DB60FF">
        <w:rPr>
          <w:lang w:val="fr-FR"/>
        </w:rPr>
        <w:t>.</w:t>
      </w:r>
    </w:p>
    <w:p w14:paraId="4710FCA1" w14:textId="613DCAB5" w:rsidR="00C943A7" w:rsidRDefault="00C943A7" w:rsidP="00C943A7">
      <w:pPr>
        <w:pStyle w:val="FiBLmrsubheader"/>
        <w:rPr>
          <w:lang w:val="fr-FR"/>
        </w:rPr>
      </w:pPr>
      <w:r w:rsidRPr="00C943A7">
        <w:rPr>
          <w:lang w:val="fr-FR"/>
        </w:rPr>
        <w:t>Le</w:t>
      </w:r>
      <w:r w:rsidR="00846169">
        <w:rPr>
          <w:lang w:val="fr-FR"/>
        </w:rPr>
        <w:t xml:space="preserve"> nombre de</w:t>
      </w:r>
      <w:r w:rsidRPr="00C943A7">
        <w:rPr>
          <w:lang w:val="fr-FR"/>
        </w:rPr>
        <w:t xml:space="preserve"> producteurs bio </w:t>
      </w:r>
      <w:r w:rsidR="00A10C3D">
        <w:rPr>
          <w:lang w:val="fr-FR"/>
        </w:rPr>
        <w:t>a</w:t>
      </w:r>
      <w:r w:rsidRPr="00C943A7">
        <w:rPr>
          <w:lang w:val="fr-FR"/>
        </w:rPr>
        <w:t xml:space="preserve"> augmenté de presque 10% dans </w:t>
      </w:r>
      <w:proofErr w:type="spellStart"/>
      <w:r w:rsidRPr="00C943A7">
        <w:rPr>
          <w:lang w:val="fr-FR"/>
        </w:rPr>
        <w:t>l</w:t>
      </w:r>
      <w:r w:rsidR="00783897">
        <w:rPr>
          <w:rFonts w:ascii="Arial" w:hAnsi="Arial" w:cs="Arial"/>
          <w:lang w:val="fr-FR"/>
        </w:rPr>
        <w:t>ʼ</w:t>
      </w:r>
      <w:r w:rsidRPr="00C943A7">
        <w:rPr>
          <w:lang w:val="fr-FR"/>
        </w:rPr>
        <w:t>UE</w:t>
      </w:r>
      <w:proofErr w:type="spellEnd"/>
    </w:p>
    <w:p w14:paraId="7024AF4E" w14:textId="3E0EC591" w:rsidR="00C943A7" w:rsidRPr="00C943A7" w:rsidRDefault="00786754" w:rsidP="00C943A7">
      <w:pPr>
        <w:pStyle w:val="FiBLmrstandard"/>
        <w:rPr>
          <w:lang w:val="fr-FR"/>
        </w:rPr>
      </w:pPr>
      <w:r>
        <w:rPr>
          <w:lang w:val="fr-FR"/>
        </w:rPr>
        <w:t>On a recensé</w:t>
      </w:r>
      <w:r w:rsidR="00C943A7" w:rsidRPr="00C943A7">
        <w:rPr>
          <w:lang w:val="fr-FR"/>
        </w:rPr>
        <w:t xml:space="preserve"> plus de 480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000</w:t>
      </w:r>
      <w:r>
        <w:rPr>
          <w:lang w:val="fr-FR"/>
        </w:rPr>
        <w:t> </w:t>
      </w:r>
      <w:r w:rsidR="00C943A7" w:rsidRPr="00C943A7">
        <w:rPr>
          <w:lang w:val="fr-FR"/>
        </w:rPr>
        <w:t xml:space="preserve">producteurs </w:t>
      </w:r>
      <w:r>
        <w:rPr>
          <w:lang w:val="fr-FR"/>
        </w:rPr>
        <w:t>bio</w:t>
      </w:r>
      <w:r w:rsidRPr="00C943A7">
        <w:rPr>
          <w:lang w:val="fr-FR"/>
        </w:rPr>
        <w:t xml:space="preserve"> </w:t>
      </w:r>
      <w:r w:rsidR="00C943A7" w:rsidRPr="00C943A7">
        <w:rPr>
          <w:lang w:val="fr-FR"/>
        </w:rPr>
        <w:t>en Europe et plus de 419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 xml:space="preserve">000 dans </w:t>
      </w:r>
      <w:proofErr w:type="spellStart"/>
      <w:r w:rsidR="00C943A7"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UE</w:t>
      </w:r>
      <w:proofErr w:type="spellEnd"/>
      <w:r w:rsidR="00C943A7" w:rsidRPr="00C943A7">
        <w:rPr>
          <w:lang w:val="fr-FR"/>
        </w:rPr>
        <w:t xml:space="preserve">, </w:t>
      </w:r>
      <w:r w:rsidR="00D97FEF">
        <w:rPr>
          <w:lang w:val="fr-FR"/>
        </w:rPr>
        <w:t>soit</w:t>
      </w:r>
      <w:r w:rsidR="00D97FEF" w:rsidRPr="00C943A7">
        <w:rPr>
          <w:lang w:val="fr-FR"/>
        </w:rPr>
        <w:t xml:space="preserve"> </w:t>
      </w:r>
      <w:r w:rsidR="00C943A7" w:rsidRPr="00C943A7">
        <w:rPr>
          <w:lang w:val="fr-FR"/>
        </w:rPr>
        <w:t>une augmentation de 7,5</w:t>
      </w:r>
      <w:r w:rsidR="00D97FEF">
        <w:rPr>
          <w:lang w:val="fr-FR"/>
        </w:rPr>
        <w:t> </w:t>
      </w:r>
      <w:r w:rsidR="00C943A7" w:rsidRPr="00C943A7">
        <w:rPr>
          <w:lang w:val="fr-FR"/>
        </w:rPr>
        <w:t>et 9,5</w:t>
      </w:r>
      <w:r w:rsidR="00D97FEF">
        <w:rPr>
          <w:lang w:val="fr-FR"/>
        </w:rPr>
        <w:t> </w:t>
      </w:r>
      <w:r w:rsidR="00C943A7" w:rsidRPr="00C943A7">
        <w:rPr>
          <w:lang w:val="fr-FR"/>
        </w:rPr>
        <w:t xml:space="preserve">pour cent respectivement. </w:t>
      </w:r>
      <w:proofErr w:type="spellStart"/>
      <w:r w:rsidR="00C943A7"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Italie</w:t>
      </w:r>
      <w:proofErr w:type="spellEnd"/>
      <w:r w:rsidR="00C943A7" w:rsidRPr="00C943A7">
        <w:rPr>
          <w:lang w:val="fr-FR"/>
        </w:rPr>
        <w:t xml:space="preserve"> avait le nombre le plus élevé</w:t>
      </w:r>
      <w:r w:rsidR="006970ED">
        <w:rPr>
          <w:lang w:val="fr-FR"/>
        </w:rPr>
        <w:t>,</w:t>
      </w:r>
      <w:r w:rsidR="00C943A7" w:rsidRPr="00C943A7">
        <w:rPr>
          <w:lang w:val="fr-FR"/>
        </w:rPr>
        <w:t xml:space="preserve"> avec 82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593.</w:t>
      </w:r>
    </w:p>
    <w:p w14:paraId="3265ECA4" w14:textId="387CFBF1" w:rsidR="00C943A7" w:rsidRDefault="00C943A7" w:rsidP="00C943A7">
      <w:pPr>
        <w:pStyle w:val="FiBLmrstandard"/>
        <w:rPr>
          <w:b/>
          <w:lang w:val="fr-FR"/>
        </w:rPr>
      </w:pPr>
      <w:r w:rsidRPr="00C943A7">
        <w:rPr>
          <w:lang w:val="fr-FR"/>
        </w:rPr>
        <w:lastRenderedPageBreak/>
        <w:t xml:space="preserve">En Europe, </w:t>
      </w:r>
      <w:r w:rsidR="00F22916">
        <w:rPr>
          <w:lang w:val="fr-FR"/>
        </w:rPr>
        <w:t>on a dénombré</w:t>
      </w:r>
      <w:r w:rsidRPr="00C943A7">
        <w:rPr>
          <w:lang w:val="fr-FR"/>
        </w:rPr>
        <w:t xml:space="preserve"> 91</w:t>
      </w:r>
      <w:r>
        <w:rPr>
          <w:lang w:val="fr-FR"/>
        </w:rPr>
        <w:t>,</w:t>
      </w:r>
      <w:r w:rsidRPr="00C943A7">
        <w:rPr>
          <w:lang w:val="fr-FR"/>
        </w:rPr>
        <w:t>775</w:t>
      </w:r>
      <w:r w:rsidR="00F22916">
        <w:rPr>
          <w:lang w:val="fr-FR"/>
        </w:rPr>
        <w:t> </w:t>
      </w:r>
      <w:r w:rsidRPr="00C943A7">
        <w:rPr>
          <w:lang w:val="fr-FR"/>
        </w:rPr>
        <w:t xml:space="preserve">transformateurs, tandis que </w:t>
      </w:r>
      <w:proofErr w:type="spellStart"/>
      <w:r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UE</w:t>
      </w:r>
      <w:proofErr w:type="spellEnd"/>
      <w:r w:rsidRPr="00C943A7">
        <w:rPr>
          <w:lang w:val="fr-FR"/>
        </w:rPr>
        <w:t xml:space="preserve"> en comptait 85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956. De plus, 7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609</w:t>
      </w:r>
      <w:r w:rsidR="00F22916">
        <w:rPr>
          <w:lang w:val="fr-FR"/>
        </w:rPr>
        <w:t> </w:t>
      </w:r>
      <w:r w:rsidRPr="00C943A7">
        <w:rPr>
          <w:lang w:val="fr-FR"/>
        </w:rPr>
        <w:t xml:space="preserve">importateurs ont été recensés en Europe, </w:t>
      </w:r>
      <w:r w:rsidR="002041EF">
        <w:rPr>
          <w:lang w:val="fr-FR"/>
        </w:rPr>
        <w:t>dont</w:t>
      </w:r>
      <w:r w:rsidR="002041EF" w:rsidRPr="00C943A7">
        <w:rPr>
          <w:lang w:val="fr-FR"/>
        </w:rPr>
        <w:t xml:space="preserve"> </w:t>
      </w:r>
      <w:r w:rsidRPr="00C943A7">
        <w:rPr>
          <w:lang w:val="fr-FR"/>
        </w:rPr>
        <w:t>6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 xml:space="preserve">450 dans </w:t>
      </w:r>
      <w:proofErr w:type="spellStart"/>
      <w:r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Union</w:t>
      </w:r>
      <w:proofErr w:type="spellEnd"/>
      <w:r w:rsidRPr="00C943A7">
        <w:rPr>
          <w:lang w:val="fr-FR"/>
        </w:rPr>
        <w:t xml:space="preserve"> </w:t>
      </w:r>
      <w:r w:rsidR="002041EF">
        <w:rPr>
          <w:lang w:val="fr-FR"/>
        </w:rPr>
        <w:t>e</w:t>
      </w:r>
      <w:r w:rsidRPr="00C943A7">
        <w:rPr>
          <w:lang w:val="fr-FR"/>
        </w:rPr>
        <w:t xml:space="preserve">uropéenne. </w:t>
      </w:r>
      <w:r w:rsidR="000E37EE">
        <w:rPr>
          <w:lang w:val="fr-FR"/>
        </w:rPr>
        <w:t xml:space="preserve">Avec </w:t>
      </w:r>
      <w:r w:rsidR="000E37EE" w:rsidRPr="00C943A7">
        <w:rPr>
          <w:lang w:val="fr-FR"/>
        </w:rPr>
        <w:t>près de 24</w:t>
      </w:r>
      <w:r w:rsidR="00783897">
        <w:rPr>
          <w:rFonts w:ascii="Times New Roman" w:hAnsi="Times New Roman" w:cs="Times New Roman"/>
          <w:lang w:val="fr-FR"/>
        </w:rPr>
        <w:t>ʼ</w:t>
      </w:r>
      <w:r w:rsidR="000E37EE" w:rsidRPr="00C943A7">
        <w:rPr>
          <w:lang w:val="fr-FR"/>
        </w:rPr>
        <w:t>000</w:t>
      </w:r>
      <w:r w:rsidR="000E37EE">
        <w:rPr>
          <w:lang w:val="fr-FR"/>
        </w:rPr>
        <w:t xml:space="preserve">, </w:t>
      </w:r>
      <w:proofErr w:type="spellStart"/>
      <w:r w:rsidR="000E37EE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Italie</w:t>
      </w:r>
      <w:proofErr w:type="spellEnd"/>
      <w:r w:rsidRPr="00C943A7">
        <w:rPr>
          <w:lang w:val="fr-FR"/>
        </w:rPr>
        <w:t xml:space="preserve"> avait le plus grand nombre de transformateurs, tandis que </w:t>
      </w:r>
      <w:proofErr w:type="spellStart"/>
      <w:r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Allemagne</w:t>
      </w:r>
      <w:proofErr w:type="spellEnd"/>
      <w:r w:rsidRPr="00C943A7">
        <w:rPr>
          <w:lang w:val="fr-FR"/>
        </w:rPr>
        <w:t xml:space="preserve"> </w:t>
      </w:r>
      <w:r w:rsidR="00A121E4">
        <w:rPr>
          <w:lang w:val="fr-FR"/>
        </w:rPr>
        <w:t>arrivait</w:t>
      </w:r>
      <w:r w:rsidRPr="00C943A7">
        <w:rPr>
          <w:lang w:val="fr-FR"/>
        </w:rPr>
        <w:t xml:space="preserve"> en tête en nombre </w:t>
      </w:r>
      <w:proofErr w:type="spellStart"/>
      <w:r w:rsidRPr="00C943A7">
        <w:rPr>
          <w:lang w:val="fr-FR"/>
        </w:rPr>
        <w:t>d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importateurs</w:t>
      </w:r>
      <w:proofErr w:type="spellEnd"/>
      <w:r w:rsidRPr="00C943A7">
        <w:rPr>
          <w:lang w:val="fr-FR"/>
        </w:rPr>
        <w:t xml:space="preserve"> avec plus de 1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900.</w:t>
      </w:r>
    </w:p>
    <w:p w14:paraId="1C1AB904" w14:textId="269D8961" w:rsidR="00C943A7" w:rsidRDefault="006970ED" w:rsidP="00C943A7">
      <w:pPr>
        <w:pStyle w:val="FiBLmrsubheader"/>
        <w:rPr>
          <w:lang w:val="fr-FR"/>
        </w:rPr>
      </w:pPr>
      <w:r>
        <w:rPr>
          <w:lang w:val="fr-FR"/>
        </w:rPr>
        <w:t>Le commerce de</w:t>
      </w:r>
      <w:r w:rsidR="00C943A7" w:rsidRPr="00C943A7">
        <w:rPr>
          <w:lang w:val="fr-FR"/>
        </w:rPr>
        <w:t xml:space="preserve"> détail </w:t>
      </w:r>
      <w:r>
        <w:rPr>
          <w:lang w:val="fr-FR"/>
        </w:rPr>
        <w:t>a</w:t>
      </w:r>
      <w:r w:rsidR="00C943A7" w:rsidRPr="00C943A7">
        <w:rPr>
          <w:lang w:val="fr-FR"/>
        </w:rPr>
        <w:t xml:space="preserve"> atteint 53,1</w:t>
      </w:r>
      <w:r w:rsidR="000E37EE">
        <w:rPr>
          <w:lang w:val="fr-FR"/>
        </w:rPr>
        <w:t> </w:t>
      </w:r>
      <w:r w:rsidR="00C943A7" w:rsidRPr="00C943A7">
        <w:rPr>
          <w:lang w:val="fr-FR"/>
        </w:rPr>
        <w:t xml:space="preserve">milliards </w:t>
      </w:r>
      <w:proofErr w:type="spellStart"/>
      <w:r w:rsidR="00C943A7" w:rsidRPr="00C943A7">
        <w:rPr>
          <w:lang w:val="fr-FR"/>
        </w:rPr>
        <w:t>d</w:t>
      </w:r>
      <w:r w:rsidR="00783897">
        <w:rPr>
          <w:rFonts w:ascii="Arial" w:hAnsi="Arial" w:cs="Arial"/>
          <w:lang w:val="fr-FR"/>
        </w:rPr>
        <w:t>ʼ</w:t>
      </w:r>
      <w:r w:rsidR="00C943A7" w:rsidRPr="00C943A7">
        <w:rPr>
          <w:lang w:val="fr-FR"/>
        </w:rPr>
        <w:t>euros</w:t>
      </w:r>
      <w:proofErr w:type="spellEnd"/>
      <w:r w:rsidR="00C943A7" w:rsidRPr="00C943A7">
        <w:rPr>
          <w:lang w:val="fr-FR"/>
        </w:rPr>
        <w:t xml:space="preserve"> en Europe</w:t>
      </w:r>
    </w:p>
    <w:p w14:paraId="7F7538CF" w14:textId="0FEEB24F" w:rsidR="00C943A7" w:rsidRPr="00C943A7" w:rsidRDefault="006970ED" w:rsidP="00C943A7">
      <w:pPr>
        <w:pStyle w:val="FiBLmrstandard"/>
        <w:rPr>
          <w:lang w:val="fr-FR"/>
        </w:rPr>
      </w:pPr>
      <w:r>
        <w:rPr>
          <w:lang w:val="fr-FR"/>
        </w:rPr>
        <w:t>Le commerce</w:t>
      </w:r>
      <w:r w:rsidR="00C943A7" w:rsidRPr="00C943A7">
        <w:rPr>
          <w:lang w:val="fr-FR"/>
        </w:rPr>
        <w:t xml:space="preserve"> </w:t>
      </w:r>
      <w:r>
        <w:rPr>
          <w:lang w:val="fr-FR"/>
        </w:rPr>
        <w:t>de</w:t>
      </w:r>
      <w:r w:rsidR="00C943A7" w:rsidRPr="00C943A7">
        <w:rPr>
          <w:lang w:val="fr-FR"/>
        </w:rPr>
        <w:t xml:space="preserve"> détail en Europe </w:t>
      </w:r>
      <w:r>
        <w:rPr>
          <w:lang w:val="fr-FR"/>
        </w:rPr>
        <w:t>a</w:t>
      </w:r>
      <w:r w:rsidR="00C943A7" w:rsidRPr="00C943A7">
        <w:rPr>
          <w:lang w:val="fr-FR"/>
        </w:rPr>
        <w:t xml:space="preserve"> atteint une valeur totale de 53,1</w:t>
      </w:r>
      <w:r w:rsidR="005D7327">
        <w:rPr>
          <w:lang w:val="fr-FR"/>
        </w:rPr>
        <w:t> </w:t>
      </w:r>
      <w:r w:rsidR="00C943A7" w:rsidRPr="00C943A7">
        <w:rPr>
          <w:lang w:val="fr-FR"/>
        </w:rPr>
        <w:t xml:space="preserve">milliards </w:t>
      </w:r>
      <w:proofErr w:type="spellStart"/>
      <w:r w:rsidR="00C943A7" w:rsidRPr="00C943A7">
        <w:rPr>
          <w:lang w:val="fr-FR"/>
        </w:rPr>
        <w:t>d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euros</w:t>
      </w:r>
      <w:proofErr w:type="spellEnd"/>
      <w:r w:rsidR="00C943A7" w:rsidRPr="00C943A7">
        <w:rPr>
          <w:lang w:val="fr-FR"/>
        </w:rPr>
        <w:t xml:space="preserve"> en</w:t>
      </w:r>
      <w:r w:rsidR="005D7327">
        <w:rPr>
          <w:lang w:val="fr-FR"/>
        </w:rPr>
        <w:t> </w:t>
      </w:r>
      <w:r w:rsidR="00C943A7" w:rsidRPr="00C943A7">
        <w:rPr>
          <w:lang w:val="fr-FR"/>
        </w:rPr>
        <w:t>2022 (45,1</w:t>
      </w:r>
      <w:r w:rsidR="005D7327">
        <w:rPr>
          <w:lang w:val="fr-FR"/>
        </w:rPr>
        <w:t> </w:t>
      </w:r>
      <w:r w:rsidR="00C943A7" w:rsidRPr="00C943A7">
        <w:rPr>
          <w:lang w:val="fr-FR"/>
        </w:rPr>
        <w:t xml:space="preserve">milliards </w:t>
      </w:r>
      <w:proofErr w:type="spellStart"/>
      <w:r w:rsidR="00C943A7" w:rsidRPr="00C943A7">
        <w:rPr>
          <w:lang w:val="fr-FR"/>
        </w:rPr>
        <w:t>d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euros</w:t>
      </w:r>
      <w:proofErr w:type="spellEnd"/>
      <w:r w:rsidR="00C943A7" w:rsidRPr="00C943A7">
        <w:rPr>
          <w:lang w:val="fr-FR"/>
        </w:rPr>
        <w:t xml:space="preserve"> au sein de </w:t>
      </w:r>
      <w:proofErr w:type="spellStart"/>
      <w:r w:rsidR="00C943A7"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Union</w:t>
      </w:r>
      <w:proofErr w:type="spellEnd"/>
      <w:r w:rsidR="00C943A7" w:rsidRPr="00C943A7">
        <w:rPr>
          <w:lang w:val="fr-FR"/>
        </w:rPr>
        <w:t xml:space="preserve"> </w:t>
      </w:r>
      <w:r w:rsidR="005D7327">
        <w:rPr>
          <w:lang w:val="fr-FR"/>
        </w:rPr>
        <w:t>e</w:t>
      </w:r>
      <w:r w:rsidR="00C943A7" w:rsidRPr="00C943A7">
        <w:rPr>
          <w:lang w:val="fr-FR"/>
        </w:rPr>
        <w:t xml:space="preserve">uropéenne). </w:t>
      </w:r>
      <w:proofErr w:type="spellStart"/>
      <w:r w:rsidR="00C943A7"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Allemagne</w:t>
      </w:r>
      <w:proofErr w:type="spellEnd"/>
      <w:r w:rsidR="00C943A7" w:rsidRPr="00C943A7">
        <w:rPr>
          <w:lang w:val="fr-FR"/>
        </w:rPr>
        <w:t xml:space="preserve"> </w:t>
      </w:r>
      <w:r>
        <w:rPr>
          <w:lang w:val="fr-FR"/>
        </w:rPr>
        <w:t>est</w:t>
      </w:r>
      <w:r w:rsidR="00C943A7" w:rsidRPr="00C943A7">
        <w:rPr>
          <w:lang w:val="fr-FR"/>
        </w:rPr>
        <w:t xml:space="preserve"> le plus grand marché, avec </w:t>
      </w:r>
      <w:r w:rsidR="004C56FE">
        <w:rPr>
          <w:lang w:val="fr-FR"/>
        </w:rPr>
        <w:t xml:space="preserve">un chiffre </w:t>
      </w:r>
      <w:proofErr w:type="spellStart"/>
      <w:r w:rsidR="004C56FE">
        <w:rPr>
          <w:lang w:val="fr-FR"/>
        </w:rPr>
        <w:t>d</w:t>
      </w:r>
      <w:r w:rsidR="00783897">
        <w:rPr>
          <w:rFonts w:ascii="Times New Roman" w:hAnsi="Times New Roman" w:cs="Times New Roman"/>
          <w:lang w:val="fr-FR"/>
        </w:rPr>
        <w:t>ʼ</w:t>
      </w:r>
      <w:r w:rsidR="004C56FE">
        <w:rPr>
          <w:lang w:val="fr-FR"/>
        </w:rPr>
        <w:t>affaires</w:t>
      </w:r>
      <w:proofErr w:type="spellEnd"/>
      <w:r>
        <w:rPr>
          <w:lang w:val="fr-FR"/>
        </w:rPr>
        <w:t xml:space="preserve"> de</w:t>
      </w:r>
      <w:r w:rsidR="00C943A7" w:rsidRPr="00C943A7">
        <w:rPr>
          <w:lang w:val="fr-FR"/>
        </w:rPr>
        <w:t xml:space="preserve"> 15,3</w:t>
      </w:r>
      <w:r w:rsidR="003C04BE">
        <w:rPr>
          <w:lang w:val="fr-FR"/>
        </w:rPr>
        <w:t> </w:t>
      </w:r>
      <w:r w:rsidR="00C943A7" w:rsidRPr="00C943A7">
        <w:rPr>
          <w:lang w:val="fr-FR"/>
        </w:rPr>
        <w:t xml:space="preserve">milliards </w:t>
      </w:r>
      <w:proofErr w:type="spellStart"/>
      <w:r w:rsidR="00C943A7" w:rsidRPr="00C943A7">
        <w:rPr>
          <w:lang w:val="fr-FR"/>
        </w:rPr>
        <w:t>d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euros</w:t>
      </w:r>
      <w:proofErr w:type="spellEnd"/>
      <w:r w:rsidR="00C943A7" w:rsidRPr="00C943A7">
        <w:rPr>
          <w:lang w:val="fr-FR"/>
        </w:rPr>
        <w:t xml:space="preserve">. À </w:t>
      </w:r>
      <w:proofErr w:type="spellStart"/>
      <w:r w:rsidR="00C943A7"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échelle</w:t>
      </w:r>
      <w:proofErr w:type="spellEnd"/>
      <w:r w:rsidR="00C943A7" w:rsidRPr="00C943A7">
        <w:rPr>
          <w:lang w:val="fr-FR"/>
        </w:rPr>
        <w:t xml:space="preserve"> mondiale, </w:t>
      </w:r>
      <w:proofErr w:type="spellStart"/>
      <w:r w:rsidR="00C943A7"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UE</w:t>
      </w:r>
      <w:proofErr w:type="spellEnd"/>
      <w:r w:rsidR="00C943A7" w:rsidRPr="00C943A7">
        <w:rPr>
          <w:lang w:val="fr-FR"/>
        </w:rPr>
        <w:t xml:space="preserve"> </w:t>
      </w:r>
      <w:r w:rsidR="00A121E4">
        <w:rPr>
          <w:lang w:val="fr-FR"/>
        </w:rPr>
        <w:t>était le</w:t>
      </w:r>
      <w:r w:rsidR="00C943A7" w:rsidRPr="00C943A7">
        <w:rPr>
          <w:lang w:val="fr-FR"/>
        </w:rPr>
        <w:t xml:space="preserve"> deuxième plus grand marché pour les produits biologiques, juste derrière les États-Unis, qui ont </w:t>
      </w:r>
      <w:r w:rsidR="00743A4E">
        <w:rPr>
          <w:lang w:val="fr-FR"/>
        </w:rPr>
        <w:t>enregistré</w:t>
      </w:r>
      <w:r w:rsidR="00743A4E" w:rsidRPr="00C943A7">
        <w:rPr>
          <w:lang w:val="fr-FR"/>
        </w:rPr>
        <w:t xml:space="preserve"> </w:t>
      </w:r>
      <w:r w:rsidR="004C56FE">
        <w:rPr>
          <w:lang w:val="fr-FR"/>
        </w:rPr>
        <w:t xml:space="preserve">un chiffre </w:t>
      </w:r>
      <w:proofErr w:type="spellStart"/>
      <w:r w:rsidR="004C56FE">
        <w:rPr>
          <w:lang w:val="fr-FR"/>
        </w:rPr>
        <w:t>d</w:t>
      </w:r>
      <w:r w:rsidR="00783897">
        <w:rPr>
          <w:rFonts w:ascii="Times New Roman" w:hAnsi="Times New Roman" w:cs="Times New Roman"/>
          <w:lang w:val="fr-FR"/>
        </w:rPr>
        <w:t>ʼ</w:t>
      </w:r>
      <w:r w:rsidR="004C56FE">
        <w:rPr>
          <w:lang w:val="fr-FR"/>
        </w:rPr>
        <w:t>affaires</w:t>
      </w:r>
      <w:proofErr w:type="spellEnd"/>
      <w:r w:rsidR="00C943A7" w:rsidRPr="00C943A7">
        <w:rPr>
          <w:lang w:val="fr-FR"/>
        </w:rPr>
        <w:t xml:space="preserve"> de 58,6</w:t>
      </w:r>
      <w:r w:rsidR="00743A4E">
        <w:rPr>
          <w:lang w:val="fr-FR"/>
        </w:rPr>
        <w:t> </w:t>
      </w:r>
      <w:r w:rsidR="00C943A7" w:rsidRPr="00C943A7">
        <w:rPr>
          <w:lang w:val="fr-FR"/>
        </w:rPr>
        <w:t xml:space="preserve">milliards </w:t>
      </w:r>
      <w:proofErr w:type="spellStart"/>
      <w:r w:rsidR="00C943A7" w:rsidRPr="00C943A7">
        <w:rPr>
          <w:lang w:val="fr-FR"/>
        </w:rPr>
        <w:t>d</w:t>
      </w:r>
      <w:r w:rsidR="00783897">
        <w:rPr>
          <w:rFonts w:ascii="Times New Roman" w:hAnsi="Times New Roman" w:cs="Times New Roman"/>
          <w:lang w:val="fr-FR"/>
        </w:rPr>
        <w:t>ʼ</w:t>
      </w:r>
      <w:r w:rsidR="00C943A7" w:rsidRPr="00C943A7">
        <w:rPr>
          <w:lang w:val="fr-FR"/>
        </w:rPr>
        <w:t>euros</w:t>
      </w:r>
      <w:proofErr w:type="spellEnd"/>
      <w:r w:rsidR="00C943A7" w:rsidRPr="00C943A7">
        <w:rPr>
          <w:lang w:val="fr-FR"/>
        </w:rPr>
        <w:t>.</w:t>
      </w:r>
    </w:p>
    <w:p w14:paraId="72A29F46" w14:textId="2E51151C" w:rsidR="00C943A7" w:rsidRPr="00C943A7" w:rsidRDefault="00C943A7" w:rsidP="00C943A7">
      <w:pPr>
        <w:pStyle w:val="FiBLmrstandard"/>
        <w:rPr>
          <w:lang w:val="fr-FR"/>
        </w:rPr>
      </w:pPr>
      <w:r w:rsidRPr="00C943A7">
        <w:rPr>
          <w:lang w:val="fr-FR"/>
        </w:rPr>
        <w:t>En</w:t>
      </w:r>
      <w:r w:rsidR="00743A4E">
        <w:rPr>
          <w:lang w:val="fr-FR"/>
        </w:rPr>
        <w:t> </w:t>
      </w:r>
      <w:r w:rsidRPr="00C943A7">
        <w:rPr>
          <w:lang w:val="fr-FR"/>
        </w:rPr>
        <w:t>2022, le marché européen a connu une baisse de 2,2</w:t>
      </w:r>
      <w:r w:rsidR="00743A4E">
        <w:rPr>
          <w:lang w:val="fr-FR"/>
        </w:rPr>
        <w:t> </w:t>
      </w:r>
      <w:r w:rsidRPr="00C943A7">
        <w:rPr>
          <w:lang w:val="fr-FR"/>
        </w:rPr>
        <w:t>pour cent (</w:t>
      </w:r>
      <w:proofErr w:type="gramStart"/>
      <w:r w:rsidRPr="00C943A7">
        <w:rPr>
          <w:lang w:val="fr-FR"/>
        </w:rPr>
        <w:t>UE:</w:t>
      </w:r>
      <w:proofErr w:type="gramEnd"/>
      <w:r w:rsidRPr="00C943A7">
        <w:rPr>
          <w:lang w:val="fr-FR"/>
        </w:rPr>
        <w:t xml:space="preserve"> -2,8</w:t>
      </w:r>
      <w:r w:rsidR="00743A4E">
        <w:rPr>
          <w:lang w:val="fr-FR"/>
        </w:rPr>
        <w:t> </w:t>
      </w:r>
      <w:r w:rsidRPr="00C943A7">
        <w:rPr>
          <w:lang w:val="fr-FR"/>
        </w:rPr>
        <w:t xml:space="preserve">pour cent). Alors que plusieurs pays ont </w:t>
      </w:r>
      <w:r w:rsidR="00F2246D">
        <w:rPr>
          <w:lang w:val="fr-FR"/>
        </w:rPr>
        <w:t>été confrontés à</w:t>
      </w:r>
      <w:r w:rsidRPr="00C943A7">
        <w:rPr>
          <w:lang w:val="fr-FR"/>
        </w:rPr>
        <w:t xml:space="preserve"> une baisse </w:t>
      </w:r>
      <w:r w:rsidR="004C56FE">
        <w:rPr>
          <w:lang w:val="fr-FR"/>
        </w:rPr>
        <w:t xml:space="preserve">du chiffre </w:t>
      </w:r>
      <w:proofErr w:type="spellStart"/>
      <w:r w:rsidR="004C56FE">
        <w:rPr>
          <w:lang w:val="fr-FR"/>
        </w:rPr>
        <w:t>d</w:t>
      </w:r>
      <w:r w:rsidR="00783897">
        <w:rPr>
          <w:rFonts w:ascii="Times New Roman" w:hAnsi="Times New Roman" w:cs="Times New Roman"/>
          <w:lang w:val="fr-FR"/>
        </w:rPr>
        <w:t>ʼ</w:t>
      </w:r>
      <w:r w:rsidR="004C56FE">
        <w:rPr>
          <w:lang w:val="fr-FR"/>
        </w:rPr>
        <w:t>affaires</w:t>
      </w:r>
      <w:proofErr w:type="spellEnd"/>
      <w:r w:rsidRPr="00C943A7">
        <w:rPr>
          <w:lang w:val="fr-FR"/>
        </w:rPr>
        <w:t xml:space="preserve">, une croissance notable a été observée dans des pays comme </w:t>
      </w:r>
      <w:proofErr w:type="spellStart"/>
      <w:r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Estonie</w:t>
      </w:r>
      <w:proofErr w:type="spellEnd"/>
      <w:r w:rsidRPr="00C943A7">
        <w:rPr>
          <w:lang w:val="fr-FR"/>
        </w:rPr>
        <w:t xml:space="preserve"> (+6,0</w:t>
      </w:r>
      <w:r w:rsidR="00581636">
        <w:rPr>
          <w:lang w:val="fr-FR"/>
        </w:rPr>
        <w:t> </w:t>
      </w:r>
      <w:r w:rsidRPr="00C943A7">
        <w:rPr>
          <w:lang w:val="fr-FR"/>
        </w:rPr>
        <w:t>pour cent) et les Pays-Bas (+4,4</w:t>
      </w:r>
      <w:r w:rsidR="00581636">
        <w:rPr>
          <w:lang w:val="fr-FR"/>
        </w:rPr>
        <w:t> </w:t>
      </w:r>
      <w:r w:rsidRPr="00C943A7">
        <w:rPr>
          <w:lang w:val="fr-FR"/>
        </w:rPr>
        <w:t>pour cent).</w:t>
      </w:r>
    </w:p>
    <w:p w14:paraId="68544ADF" w14:textId="3F0884AD" w:rsidR="00C943A7" w:rsidRDefault="00C943A7" w:rsidP="005909ED">
      <w:pPr>
        <w:pStyle w:val="FiBLmrstandard"/>
        <w:keepNext/>
        <w:spacing w:before="120"/>
        <w:rPr>
          <w:rFonts w:ascii="Gill Sans MT" w:hAnsi="Gill Sans MT"/>
          <w:b/>
          <w:lang w:val="fr-FR"/>
        </w:rPr>
      </w:pPr>
      <w:r w:rsidRPr="00C943A7">
        <w:rPr>
          <w:rFonts w:ascii="Gill Sans MT" w:hAnsi="Gill Sans MT"/>
          <w:b/>
          <w:lang w:val="fr-FR"/>
        </w:rPr>
        <w:t>En</w:t>
      </w:r>
      <w:r w:rsidR="00581636">
        <w:rPr>
          <w:rFonts w:ascii="Gill Sans MT" w:hAnsi="Gill Sans MT"/>
          <w:b/>
          <w:lang w:val="fr-FR"/>
        </w:rPr>
        <w:t> </w:t>
      </w:r>
      <w:r w:rsidRPr="00C943A7">
        <w:rPr>
          <w:rFonts w:ascii="Gill Sans MT" w:hAnsi="Gill Sans MT"/>
          <w:b/>
          <w:lang w:val="fr-FR"/>
        </w:rPr>
        <w:t>2022, les consommateurs européens ont dépensé 64</w:t>
      </w:r>
      <w:r w:rsidR="005C602A">
        <w:rPr>
          <w:rFonts w:ascii="Gill Sans MT" w:hAnsi="Gill Sans MT"/>
          <w:b/>
          <w:lang w:val="fr-FR"/>
        </w:rPr>
        <w:t> </w:t>
      </w:r>
      <w:r w:rsidRPr="00C943A7">
        <w:rPr>
          <w:rFonts w:ascii="Gill Sans MT" w:hAnsi="Gill Sans MT"/>
          <w:b/>
          <w:lang w:val="fr-FR"/>
        </w:rPr>
        <w:t xml:space="preserve">euros par personne pour des aliments </w:t>
      </w:r>
      <w:r w:rsidR="004A3600">
        <w:rPr>
          <w:rFonts w:ascii="Gill Sans MT" w:hAnsi="Gill Sans MT"/>
          <w:b/>
          <w:lang w:val="fr-FR"/>
        </w:rPr>
        <w:t>bio</w:t>
      </w:r>
    </w:p>
    <w:p w14:paraId="3BA394DF" w14:textId="5885538F" w:rsidR="00C943A7" w:rsidRPr="00C943A7" w:rsidRDefault="00C943A7" w:rsidP="00C943A7">
      <w:pPr>
        <w:pStyle w:val="FiBLmrstandard"/>
        <w:rPr>
          <w:lang w:val="fr-FR"/>
        </w:rPr>
      </w:pPr>
      <w:r w:rsidRPr="00C943A7">
        <w:rPr>
          <w:lang w:val="fr-FR"/>
        </w:rPr>
        <w:t>En</w:t>
      </w:r>
      <w:r w:rsidR="004A3600">
        <w:rPr>
          <w:lang w:val="fr-FR"/>
        </w:rPr>
        <w:t> </w:t>
      </w:r>
      <w:r w:rsidRPr="00C943A7">
        <w:rPr>
          <w:lang w:val="fr-FR"/>
        </w:rPr>
        <w:t>2022, les consommateurs en Europe ont dépensé en moyenne 64</w:t>
      </w:r>
      <w:r w:rsidR="004A3600">
        <w:rPr>
          <w:lang w:val="fr-FR"/>
        </w:rPr>
        <w:t> </w:t>
      </w:r>
      <w:r w:rsidRPr="00C943A7">
        <w:rPr>
          <w:lang w:val="fr-FR"/>
        </w:rPr>
        <w:t xml:space="preserve">euros par personne pour des aliments </w:t>
      </w:r>
      <w:r w:rsidR="004A3600">
        <w:rPr>
          <w:lang w:val="fr-FR"/>
        </w:rPr>
        <w:t>bio</w:t>
      </w:r>
      <w:r w:rsidR="004A3600" w:rsidRPr="00C943A7">
        <w:rPr>
          <w:lang w:val="fr-FR"/>
        </w:rPr>
        <w:t xml:space="preserve"> </w:t>
      </w:r>
      <w:r w:rsidRPr="00C943A7">
        <w:rPr>
          <w:lang w:val="fr-FR"/>
        </w:rPr>
        <w:t>(102</w:t>
      </w:r>
      <w:r w:rsidR="004A3600">
        <w:rPr>
          <w:lang w:val="fr-FR"/>
        </w:rPr>
        <w:t> </w:t>
      </w:r>
      <w:r w:rsidRPr="00C943A7">
        <w:rPr>
          <w:lang w:val="fr-FR"/>
        </w:rPr>
        <w:t xml:space="preserve">euros dans </w:t>
      </w:r>
      <w:proofErr w:type="spellStart"/>
      <w:r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UE</w:t>
      </w:r>
      <w:proofErr w:type="spellEnd"/>
      <w:r w:rsidRPr="00C943A7">
        <w:rPr>
          <w:lang w:val="fr-FR"/>
        </w:rPr>
        <w:t xml:space="preserve">). Les dépenses des consommateurs pour des aliments </w:t>
      </w:r>
      <w:r w:rsidR="00FA7619">
        <w:rPr>
          <w:lang w:val="fr-FR"/>
        </w:rPr>
        <w:t>bio</w:t>
      </w:r>
      <w:r w:rsidR="00FA7619" w:rsidRPr="00C943A7">
        <w:rPr>
          <w:lang w:val="fr-FR"/>
        </w:rPr>
        <w:t xml:space="preserve"> </w:t>
      </w:r>
      <w:r w:rsidRPr="00C943A7">
        <w:rPr>
          <w:lang w:val="fr-FR"/>
        </w:rPr>
        <w:t xml:space="preserve">par </w:t>
      </w:r>
      <w:proofErr w:type="spellStart"/>
      <w:r w:rsidRPr="00C943A7">
        <w:rPr>
          <w:lang w:val="fr-FR"/>
        </w:rPr>
        <w:t>habitant</w:t>
      </w:r>
      <w:r w:rsidR="00FA7619">
        <w:rPr>
          <w:lang w:val="fr-FR"/>
        </w:rPr>
        <w:t>·e</w:t>
      </w:r>
      <w:proofErr w:type="spellEnd"/>
      <w:r w:rsidRPr="00C943A7">
        <w:rPr>
          <w:lang w:val="fr-FR"/>
        </w:rPr>
        <w:t xml:space="preserve"> ont doublé au cours de la décennie 2013</w:t>
      </w:r>
      <w:r w:rsidR="00D84DB9">
        <w:rPr>
          <w:lang w:val="fr-FR"/>
        </w:rPr>
        <w:t>-</w:t>
      </w:r>
      <w:r w:rsidRPr="00C943A7">
        <w:rPr>
          <w:lang w:val="fr-FR"/>
        </w:rPr>
        <w:t>2022. En</w:t>
      </w:r>
      <w:r w:rsidR="00D84DB9">
        <w:rPr>
          <w:lang w:val="fr-FR"/>
        </w:rPr>
        <w:t> </w:t>
      </w:r>
      <w:r w:rsidRPr="00C943A7">
        <w:rPr>
          <w:lang w:val="fr-FR"/>
        </w:rPr>
        <w:t xml:space="preserve">2022, </w:t>
      </w:r>
      <w:r w:rsidR="00660F96">
        <w:rPr>
          <w:lang w:val="fr-FR"/>
        </w:rPr>
        <w:t xml:space="preserve">ce sont </w:t>
      </w:r>
      <w:r w:rsidRPr="00C943A7">
        <w:rPr>
          <w:lang w:val="fr-FR"/>
        </w:rPr>
        <w:t xml:space="preserve">les consommateurs suisses et danois </w:t>
      </w:r>
      <w:r w:rsidR="00660F96">
        <w:rPr>
          <w:lang w:val="fr-FR"/>
        </w:rPr>
        <w:t xml:space="preserve">qui </w:t>
      </w:r>
      <w:r w:rsidRPr="00C943A7">
        <w:rPr>
          <w:lang w:val="fr-FR"/>
        </w:rPr>
        <w:t xml:space="preserve">ont dépensé le plus pour des aliments </w:t>
      </w:r>
      <w:r w:rsidR="00855B7B">
        <w:rPr>
          <w:lang w:val="fr-FR"/>
        </w:rPr>
        <w:t>bio</w:t>
      </w:r>
      <w:r w:rsidRPr="00C943A7">
        <w:rPr>
          <w:lang w:val="fr-FR"/>
        </w:rPr>
        <w:t>, avec respectivement 437</w:t>
      </w:r>
      <w:r w:rsidR="00855B7B">
        <w:rPr>
          <w:lang w:val="fr-FR"/>
        </w:rPr>
        <w:t> </w:t>
      </w:r>
      <w:r w:rsidRPr="00C943A7">
        <w:rPr>
          <w:lang w:val="fr-FR"/>
        </w:rPr>
        <w:t>et 365</w:t>
      </w:r>
      <w:r w:rsidR="00855B7B">
        <w:rPr>
          <w:lang w:val="fr-FR"/>
        </w:rPr>
        <w:t> </w:t>
      </w:r>
      <w:r w:rsidRPr="00C943A7">
        <w:rPr>
          <w:lang w:val="fr-FR"/>
        </w:rPr>
        <w:t xml:space="preserve">euros par </w:t>
      </w:r>
      <w:proofErr w:type="spellStart"/>
      <w:r w:rsidRPr="00C943A7">
        <w:rPr>
          <w:lang w:val="fr-FR"/>
        </w:rPr>
        <w:t>habitant</w:t>
      </w:r>
      <w:r w:rsidR="002A0FB3">
        <w:rPr>
          <w:lang w:val="fr-FR"/>
        </w:rPr>
        <w:t>·e</w:t>
      </w:r>
      <w:proofErr w:type="spellEnd"/>
      <w:r w:rsidRPr="00C943A7">
        <w:rPr>
          <w:lang w:val="fr-FR"/>
        </w:rPr>
        <w:t>.</w:t>
      </w:r>
    </w:p>
    <w:p w14:paraId="3EBB99D1" w14:textId="77777777" w:rsidR="00C943A7" w:rsidRDefault="00C943A7" w:rsidP="005909ED">
      <w:pPr>
        <w:pStyle w:val="FiBLmrstandard"/>
        <w:keepNext/>
        <w:spacing w:before="120"/>
        <w:rPr>
          <w:rFonts w:ascii="Gill Sans MT" w:hAnsi="Gill Sans MT"/>
          <w:b/>
          <w:lang w:val="fr-FR"/>
        </w:rPr>
      </w:pPr>
      <w:r w:rsidRPr="00C943A7">
        <w:rPr>
          <w:rFonts w:ascii="Gill Sans MT" w:hAnsi="Gill Sans MT"/>
          <w:b/>
          <w:lang w:val="fr-FR"/>
        </w:rPr>
        <w:t>Le Danemark avait la part de marché biologique la plus élevée au monde</w:t>
      </w:r>
    </w:p>
    <w:p w14:paraId="68F4737A" w14:textId="7BB88295" w:rsidR="00C943A7" w:rsidRPr="00C943A7" w:rsidRDefault="00C943A7" w:rsidP="00C943A7">
      <w:pPr>
        <w:pStyle w:val="FiBLmrstandard"/>
        <w:rPr>
          <w:lang w:val="fr-FR"/>
        </w:rPr>
      </w:pPr>
      <w:r w:rsidRPr="00C943A7">
        <w:rPr>
          <w:lang w:val="fr-FR"/>
        </w:rPr>
        <w:t xml:space="preserve">À </w:t>
      </w:r>
      <w:proofErr w:type="spellStart"/>
      <w:r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échelle</w:t>
      </w:r>
      <w:proofErr w:type="spellEnd"/>
      <w:r w:rsidRPr="00C943A7">
        <w:rPr>
          <w:lang w:val="fr-FR"/>
        </w:rPr>
        <w:t xml:space="preserve"> mondiale, les pays européens </w:t>
      </w:r>
      <w:r w:rsidR="00C94200">
        <w:rPr>
          <w:lang w:val="fr-FR"/>
        </w:rPr>
        <w:t>ont représenté</w:t>
      </w:r>
      <w:r w:rsidRPr="00C943A7">
        <w:rPr>
          <w:lang w:val="fr-FR"/>
        </w:rPr>
        <w:t xml:space="preserve"> la part la plus élevée des ventes </w:t>
      </w:r>
      <w:proofErr w:type="spellStart"/>
      <w:r w:rsidR="00C94200">
        <w:rPr>
          <w:lang w:val="fr-FR"/>
        </w:rPr>
        <w:t>d</w:t>
      </w:r>
      <w:r w:rsidR="00783897">
        <w:rPr>
          <w:rFonts w:ascii="Times New Roman" w:hAnsi="Times New Roman" w:cs="Times New Roman"/>
          <w:lang w:val="fr-FR"/>
        </w:rPr>
        <w:t>ʼ</w:t>
      </w:r>
      <w:r w:rsidR="00C94200">
        <w:rPr>
          <w:lang w:val="fr-FR"/>
        </w:rPr>
        <w:t>aliments</w:t>
      </w:r>
      <w:proofErr w:type="spellEnd"/>
      <w:r w:rsidR="00C94200">
        <w:rPr>
          <w:lang w:val="fr-FR"/>
        </w:rPr>
        <w:t xml:space="preserve"> bio</w:t>
      </w:r>
      <w:r w:rsidRPr="00C943A7">
        <w:rPr>
          <w:lang w:val="fr-FR"/>
        </w:rPr>
        <w:t xml:space="preserve"> en pourcentage de leurs marchés alimentaires respectifs. Le Danemark a continué </w:t>
      </w:r>
      <w:r w:rsidR="004000C6">
        <w:rPr>
          <w:lang w:val="fr-FR"/>
        </w:rPr>
        <w:t>de détenir</w:t>
      </w:r>
      <w:r w:rsidRPr="00C943A7">
        <w:rPr>
          <w:lang w:val="fr-FR"/>
        </w:rPr>
        <w:t xml:space="preserve"> la part</w:t>
      </w:r>
      <w:r w:rsidR="004000C6">
        <w:rPr>
          <w:lang w:val="fr-FR"/>
        </w:rPr>
        <w:t xml:space="preserve"> de marché</w:t>
      </w:r>
      <w:r w:rsidRPr="00C943A7">
        <w:rPr>
          <w:lang w:val="fr-FR"/>
        </w:rPr>
        <w:t xml:space="preserve"> la plus élevée </w:t>
      </w:r>
      <w:r w:rsidR="008D29E0">
        <w:rPr>
          <w:lang w:val="fr-FR"/>
        </w:rPr>
        <w:t xml:space="preserve">à </w:t>
      </w:r>
      <w:proofErr w:type="spellStart"/>
      <w:r w:rsidR="008D29E0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="008D29E0">
        <w:rPr>
          <w:lang w:val="fr-FR"/>
        </w:rPr>
        <w:t>échelle</w:t>
      </w:r>
      <w:proofErr w:type="spellEnd"/>
      <w:r w:rsidRPr="00C943A7">
        <w:rPr>
          <w:lang w:val="fr-FR"/>
        </w:rPr>
        <w:t xml:space="preserve"> mondial</w:t>
      </w:r>
      <w:r w:rsidR="008D29E0">
        <w:rPr>
          <w:lang w:val="fr-FR"/>
        </w:rPr>
        <w:t>e</w:t>
      </w:r>
      <w:r w:rsidRPr="00C943A7">
        <w:rPr>
          <w:lang w:val="fr-FR"/>
        </w:rPr>
        <w:t>, avec 12,0</w:t>
      </w:r>
      <w:r w:rsidR="008D29E0">
        <w:rPr>
          <w:lang w:val="fr-FR"/>
        </w:rPr>
        <w:t> </w:t>
      </w:r>
      <w:r w:rsidRPr="00C943A7">
        <w:rPr>
          <w:lang w:val="fr-FR"/>
        </w:rPr>
        <w:t>pour cent en</w:t>
      </w:r>
      <w:r w:rsidR="008D29E0">
        <w:rPr>
          <w:lang w:val="fr-FR"/>
        </w:rPr>
        <w:t> </w:t>
      </w:r>
      <w:r w:rsidRPr="00C943A7">
        <w:rPr>
          <w:lang w:val="fr-FR"/>
        </w:rPr>
        <w:t xml:space="preserve">2022, suivi de </w:t>
      </w:r>
      <w:proofErr w:type="spellStart"/>
      <w:r w:rsidRPr="00C943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943A7">
        <w:rPr>
          <w:lang w:val="fr-FR"/>
        </w:rPr>
        <w:t>Autriche</w:t>
      </w:r>
      <w:proofErr w:type="spellEnd"/>
      <w:r w:rsidRPr="00C943A7">
        <w:rPr>
          <w:lang w:val="fr-FR"/>
        </w:rPr>
        <w:t xml:space="preserve"> </w:t>
      </w:r>
      <w:r w:rsidR="008D29E0">
        <w:rPr>
          <w:lang w:val="fr-FR"/>
        </w:rPr>
        <w:t>dont la</w:t>
      </w:r>
      <w:r w:rsidRPr="00C943A7">
        <w:rPr>
          <w:lang w:val="fr-FR"/>
        </w:rPr>
        <w:t xml:space="preserve"> part </w:t>
      </w:r>
      <w:r w:rsidR="008D29E0">
        <w:rPr>
          <w:lang w:val="fr-FR"/>
        </w:rPr>
        <w:t>a atteint</w:t>
      </w:r>
      <w:r w:rsidR="008D29E0" w:rsidRPr="00C943A7">
        <w:rPr>
          <w:lang w:val="fr-FR"/>
        </w:rPr>
        <w:t xml:space="preserve"> </w:t>
      </w:r>
      <w:r w:rsidRPr="00C943A7">
        <w:rPr>
          <w:lang w:val="fr-FR"/>
        </w:rPr>
        <w:t>11,5</w:t>
      </w:r>
      <w:r w:rsidR="008D29E0">
        <w:rPr>
          <w:lang w:val="fr-FR"/>
        </w:rPr>
        <w:t> </w:t>
      </w:r>
      <w:r w:rsidRPr="00C943A7">
        <w:rPr>
          <w:lang w:val="fr-FR"/>
        </w:rPr>
        <w:t>pour cent et de la Suisse avec 11,2</w:t>
      </w:r>
      <w:r w:rsidR="008D29E0">
        <w:rPr>
          <w:lang w:val="fr-FR"/>
        </w:rPr>
        <w:t> </w:t>
      </w:r>
      <w:r w:rsidRPr="00C943A7">
        <w:rPr>
          <w:lang w:val="fr-FR"/>
        </w:rPr>
        <w:t>pour cent.</w:t>
      </w:r>
    </w:p>
    <w:p w14:paraId="611FE154" w14:textId="0E0012E9" w:rsidR="005909ED" w:rsidRPr="00B221D3" w:rsidRDefault="00B37E7F" w:rsidP="00022073">
      <w:pPr>
        <w:pStyle w:val="FiBLmraddinfo"/>
      </w:pPr>
      <w:r>
        <w:t xml:space="preserve">Plus </w:t>
      </w:r>
      <w:proofErr w:type="spellStart"/>
      <w:r>
        <w:t>d</w:t>
      </w:r>
      <w:r w:rsidR="00783897">
        <w:rPr>
          <w:rFonts w:ascii="Arial" w:hAnsi="Arial" w:cs="Arial"/>
        </w:rPr>
        <w:t>ʼ</w:t>
      </w:r>
      <w:r>
        <w:t>informations</w:t>
      </w:r>
      <w:proofErr w:type="spellEnd"/>
    </w:p>
    <w:p w14:paraId="1F142BDC" w14:textId="1AAAFC13" w:rsidR="005909ED" w:rsidRPr="00B221D3" w:rsidRDefault="00B37E7F" w:rsidP="00022073">
      <w:pPr>
        <w:pStyle w:val="FiBLmrsubheader"/>
      </w:pPr>
      <w:proofErr w:type="spellStart"/>
      <w:r>
        <w:t>Contacts</w:t>
      </w:r>
      <w:proofErr w:type="spellEnd"/>
    </w:p>
    <w:p w14:paraId="3CABB950" w14:textId="77777777" w:rsidR="002372C2" w:rsidRPr="002372C2" w:rsidRDefault="005909ED" w:rsidP="005909ED">
      <w:pPr>
        <w:pStyle w:val="FiBLmrbulletpoint"/>
        <w:rPr>
          <w:rStyle w:val="Hyperlink"/>
          <w:color w:val="auto"/>
          <w:u w:val="none"/>
        </w:rPr>
      </w:pPr>
      <w:r w:rsidRPr="00B221D3">
        <w:t>Dr Helga Willer, FiBL, Ackerstrasse 113, 5070 Frick, S</w:t>
      </w:r>
      <w:r w:rsidR="00EA6FCE">
        <w:t>uisse</w:t>
      </w:r>
      <w:r w:rsidRPr="00B221D3">
        <w:br/>
      </w:r>
      <w:proofErr w:type="spellStart"/>
      <w:r w:rsidRPr="00B221D3">
        <w:t>T</w:t>
      </w:r>
      <w:r w:rsidR="00503FD2">
        <w:t>é</w:t>
      </w:r>
      <w:r w:rsidRPr="00B221D3">
        <w:t>l</w:t>
      </w:r>
      <w:proofErr w:type="spellEnd"/>
      <w:r w:rsidR="00EA6FCE">
        <w:t>.</w:t>
      </w:r>
      <w:r w:rsidRPr="00B221D3">
        <w:t xml:space="preserve"> +</w:t>
      </w:r>
      <w:r w:rsidRPr="006520EE">
        <w:t>41 (0)79</w:t>
      </w:r>
      <w:r w:rsidRPr="00B221D3">
        <w:t xml:space="preserve"> 218 06 26, </w:t>
      </w:r>
      <w:hyperlink r:id="rId13" w:history="1">
        <w:r w:rsidRPr="0073057A">
          <w:rPr>
            <w:rStyle w:val="Hyperlink"/>
            <w:u w:val="none"/>
          </w:rPr>
          <w:t>helga.willer@fibl.org</w:t>
        </w:r>
      </w:hyperlink>
    </w:p>
    <w:p w14:paraId="228D1283" w14:textId="503BCEEF" w:rsidR="005909ED" w:rsidRPr="00B221D3" w:rsidRDefault="005909ED" w:rsidP="005909ED">
      <w:pPr>
        <w:pStyle w:val="FiBLmrbulletpoint"/>
      </w:pPr>
      <w:r w:rsidRPr="00B221D3">
        <w:t xml:space="preserve">Diana </w:t>
      </w:r>
      <w:proofErr w:type="spellStart"/>
      <w:r w:rsidRPr="00B221D3">
        <w:t>Schaack</w:t>
      </w:r>
      <w:proofErr w:type="spellEnd"/>
      <w:r w:rsidRPr="00B221D3">
        <w:t xml:space="preserve">, AMI – Agrarmarkt Informations-Gesellschaft mbH, Dreizehnmorgenweg 10, 53175 Bonn, </w:t>
      </w:r>
      <w:proofErr w:type="spellStart"/>
      <w:r w:rsidR="00DE3617">
        <w:t>Allemagne</w:t>
      </w:r>
      <w:proofErr w:type="spellEnd"/>
      <w:r w:rsidRPr="00B221D3">
        <w:br/>
      </w:r>
      <w:proofErr w:type="spellStart"/>
      <w:r w:rsidRPr="00B221D3">
        <w:t>T</w:t>
      </w:r>
      <w:r w:rsidR="00503FD2">
        <w:t>é</w:t>
      </w:r>
      <w:r w:rsidRPr="00B221D3">
        <w:t>l</w:t>
      </w:r>
      <w:proofErr w:type="spellEnd"/>
      <w:r w:rsidR="00DE3617">
        <w:t>.</w:t>
      </w:r>
      <w:r w:rsidRPr="00B221D3">
        <w:t xml:space="preserve"> +49 228 33805-0, </w:t>
      </w:r>
      <w:hyperlink r:id="rId14" w:history="1">
        <w:r w:rsidR="002372C2" w:rsidRPr="004E3C88">
          <w:rPr>
            <w:rStyle w:val="Hyperlink"/>
          </w:rPr>
          <w:t>diana.schaack@ami-informiert.de</w:t>
        </w:r>
      </w:hyperlink>
      <w:hyperlink w:history="1"/>
    </w:p>
    <w:p w14:paraId="190BF253" w14:textId="7234BF0F" w:rsidR="009B0C59" w:rsidRPr="00D272D2" w:rsidRDefault="00D272D2" w:rsidP="00022073">
      <w:pPr>
        <w:pStyle w:val="FiBLmrsubheader"/>
        <w:rPr>
          <w:lang w:val="fr-FR"/>
        </w:rPr>
      </w:pPr>
      <w:r w:rsidRPr="004320E4">
        <w:rPr>
          <w:lang w:val="fr-FR"/>
        </w:rPr>
        <w:lastRenderedPageBreak/>
        <w:t>Téléchargements, infographies</w:t>
      </w:r>
      <w:r w:rsidR="00022073" w:rsidRPr="004320E4">
        <w:rPr>
          <w:lang w:val="fr-FR"/>
        </w:rPr>
        <w:t xml:space="preserve"> </w:t>
      </w:r>
      <w:r w:rsidRPr="004320E4">
        <w:rPr>
          <w:lang w:val="fr-FR"/>
        </w:rPr>
        <w:t>et</w:t>
      </w:r>
      <w:r w:rsidR="00022073" w:rsidRPr="004320E4">
        <w:rPr>
          <w:lang w:val="fr-FR"/>
        </w:rPr>
        <w:t xml:space="preserve"> </w:t>
      </w:r>
      <w:r w:rsidRPr="00D272D2">
        <w:rPr>
          <w:lang w:val="fr-FR"/>
        </w:rPr>
        <w:t>base d</w:t>
      </w:r>
      <w:r>
        <w:rPr>
          <w:lang w:val="fr-FR"/>
        </w:rPr>
        <w:t>e données en ligne</w:t>
      </w:r>
      <w:r w:rsidR="00D447BA">
        <w:rPr>
          <w:lang w:val="fr-FR"/>
        </w:rPr>
        <w:t xml:space="preserve"> (en anglais)</w:t>
      </w:r>
    </w:p>
    <w:p w14:paraId="7A5C1F9C" w14:textId="5F8BCF32" w:rsidR="009B0C59" w:rsidRPr="002372C2" w:rsidRDefault="00936F14" w:rsidP="00A63717">
      <w:pPr>
        <w:pStyle w:val="FiBLmrbulletpoint"/>
        <w:rPr>
          <w:rStyle w:val="Hyperlink"/>
          <w:color w:val="auto"/>
          <w:u w:val="none"/>
          <w:lang w:val="en-GB"/>
        </w:rPr>
      </w:pPr>
      <w:proofErr w:type="spellStart"/>
      <w:r w:rsidRPr="00A121E4">
        <w:rPr>
          <w:bCs/>
          <w:lang w:val="en-GB"/>
        </w:rPr>
        <w:t>Télécharger</w:t>
      </w:r>
      <w:proofErr w:type="spellEnd"/>
      <w:r w:rsidRPr="00A121E4">
        <w:rPr>
          <w:bCs/>
          <w:lang w:val="en-GB"/>
        </w:rPr>
        <w:t xml:space="preserve"> </w:t>
      </w:r>
      <w:proofErr w:type="spellStart"/>
      <w:r w:rsidRPr="00A121E4">
        <w:rPr>
          <w:bCs/>
          <w:lang w:val="en-GB"/>
        </w:rPr>
        <w:t>l</w:t>
      </w:r>
      <w:r w:rsidR="00783897">
        <w:rPr>
          <w:rFonts w:ascii="Times New Roman" w:hAnsi="Times New Roman" w:cs="Times New Roman"/>
          <w:bCs/>
          <w:lang w:val="en-GB"/>
        </w:rPr>
        <w:t>ʼ</w:t>
      </w:r>
      <w:r w:rsidRPr="00A121E4">
        <w:rPr>
          <w:bCs/>
          <w:lang w:val="en-GB"/>
        </w:rPr>
        <w:t>annuaire</w:t>
      </w:r>
      <w:proofErr w:type="spellEnd"/>
      <w:r w:rsidRPr="00A121E4">
        <w:rPr>
          <w:bCs/>
          <w:lang w:val="en-GB"/>
        </w:rPr>
        <w:t xml:space="preserve"> </w:t>
      </w:r>
      <w:proofErr w:type="spellStart"/>
      <w:r w:rsidRPr="00A121E4">
        <w:rPr>
          <w:bCs/>
          <w:lang w:val="en-GB"/>
        </w:rPr>
        <w:t>statistique</w:t>
      </w:r>
      <w:proofErr w:type="spellEnd"/>
      <w:r>
        <w:rPr>
          <w:b/>
          <w:lang w:val="en-GB"/>
        </w:rPr>
        <w:t xml:space="preserve"> «</w:t>
      </w:r>
      <w:r w:rsidR="009B0C59" w:rsidRPr="006520EE">
        <w:rPr>
          <w:lang w:val="en-GB"/>
        </w:rPr>
        <w:t xml:space="preserve">The </w:t>
      </w:r>
      <w:r w:rsidR="00404EF3" w:rsidRPr="006520EE">
        <w:rPr>
          <w:lang w:val="en-GB"/>
        </w:rPr>
        <w:t>World of Organic Agriculture 20</w:t>
      </w:r>
      <w:r w:rsidR="00C943A7">
        <w:rPr>
          <w:lang w:val="en-GB"/>
        </w:rPr>
        <w:t>24</w:t>
      </w:r>
      <w:r>
        <w:rPr>
          <w:b/>
          <w:lang w:val="en-GB"/>
        </w:rPr>
        <w:t>»</w:t>
      </w:r>
      <w:r w:rsidR="00022073" w:rsidRPr="006520EE">
        <w:rPr>
          <w:lang w:val="en-GB"/>
        </w:rPr>
        <w:t xml:space="preserve"> </w:t>
      </w:r>
      <w:r w:rsidR="002A7906">
        <w:rPr>
          <w:lang w:val="en-GB"/>
        </w:rPr>
        <w:br/>
      </w:r>
      <w:hyperlink r:id="rId15" w:history="1">
        <w:r w:rsidR="002372C2" w:rsidRPr="002372C2">
          <w:rPr>
            <w:rStyle w:val="Hyperlink"/>
            <w:u w:val="none"/>
            <w:lang w:val="en-GB"/>
          </w:rPr>
          <w:t>www.organic-world.net/yearbook/yearbook-2024.html</w:t>
        </w:r>
      </w:hyperlink>
    </w:p>
    <w:p w14:paraId="3B358C1F" w14:textId="6E6C4909" w:rsidR="009B0C59" w:rsidRPr="00801AA6" w:rsidRDefault="00291FFE" w:rsidP="00291FFE">
      <w:pPr>
        <w:pStyle w:val="FiBLmrbulletpoint"/>
        <w:rPr>
          <w:lang w:val="en-GB"/>
        </w:rPr>
      </w:pPr>
      <w:proofErr w:type="spellStart"/>
      <w:r w:rsidRPr="00801AA6">
        <w:rPr>
          <w:lang w:val="en-GB"/>
        </w:rPr>
        <w:t>Infogra</w:t>
      </w:r>
      <w:r w:rsidR="00932890" w:rsidRPr="00801AA6">
        <w:rPr>
          <w:lang w:val="en-GB"/>
        </w:rPr>
        <w:t>phies</w:t>
      </w:r>
      <w:proofErr w:type="spellEnd"/>
      <w:r w:rsidR="002A7906" w:rsidRPr="00801AA6">
        <w:rPr>
          <w:lang w:val="en-GB"/>
        </w:rPr>
        <w:br/>
      </w:r>
      <w:hyperlink r:id="rId16" w:history="1">
        <w:r w:rsidR="00C943A7" w:rsidRPr="0073057A">
          <w:rPr>
            <w:rStyle w:val="Hyperlink"/>
            <w:u w:val="none"/>
            <w:lang w:val="en-GB"/>
          </w:rPr>
          <w:t>http://www.organic-world.net/yearbook/yearbook-2024/infographics.html</w:t>
        </w:r>
      </w:hyperlink>
    </w:p>
    <w:p w14:paraId="104D6332" w14:textId="7D5F7348" w:rsidR="009B0C59" w:rsidRPr="001832F2" w:rsidRDefault="001832F2" w:rsidP="00291FFE">
      <w:pPr>
        <w:pStyle w:val="FiBLmrbulletpoint"/>
        <w:rPr>
          <w:lang w:val="fr-FR"/>
        </w:rPr>
      </w:pPr>
      <w:r w:rsidRPr="001832F2">
        <w:rPr>
          <w:lang w:val="fr-FR"/>
        </w:rPr>
        <w:t xml:space="preserve">Statistiques du </w:t>
      </w:r>
      <w:r w:rsidR="00291FFE" w:rsidRPr="001832F2">
        <w:rPr>
          <w:lang w:val="fr-FR"/>
        </w:rPr>
        <w:t>FiBL</w:t>
      </w:r>
      <w:r w:rsidRPr="001832F2">
        <w:rPr>
          <w:lang w:val="fr-FR"/>
        </w:rPr>
        <w:t xml:space="preserve"> sur </w:t>
      </w:r>
      <w:proofErr w:type="spellStart"/>
      <w:r w:rsidRPr="001832F2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1832F2">
        <w:rPr>
          <w:lang w:val="fr-FR"/>
        </w:rPr>
        <w:t>agriculture</w:t>
      </w:r>
      <w:proofErr w:type="spellEnd"/>
      <w:r w:rsidRPr="001832F2">
        <w:rPr>
          <w:lang w:val="fr-FR"/>
        </w:rPr>
        <w:t xml:space="preserve"> biologique dans le </w:t>
      </w:r>
      <w:r w:rsidRPr="006520EE">
        <w:rPr>
          <w:lang w:val="fr-FR"/>
        </w:rPr>
        <w:t>monde</w:t>
      </w:r>
      <w:r w:rsidR="00E256CD" w:rsidRPr="006520EE">
        <w:rPr>
          <w:lang w:val="fr-FR"/>
        </w:rPr>
        <w:t xml:space="preserve"> </w:t>
      </w:r>
      <w:r w:rsidR="002A7906">
        <w:rPr>
          <w:lang w:val="fr-FR"/>
        </w:rPr>
        <w:br/>
      </w:r>
      <w:hyperlink r:id="rId17" w:history="1">
        <w:r w:rsidR="00ED45AF" w:rsidRPr="0073057A">
          <w:rPr>
            <w:rStyle w:val="Hyperlink"/>
            <w:u w:val="none"/>
            <w:lang w:val="fr-FR"/>
          </w:rPr>
          <w:t>https://statistics.fibl.org</w:t>
        </w:r>
      </w:hyperlink>
    </w:p>
    <w:p w14:paraId="03E33827" w14:textId="731E3398" w:rsidR="0010418E" w:rsidRPr="00B221D3" w:rsidRDefault="0010418E" w:rsidP="00022073">
      <w:pPr>
        <w:pStyle w:val="FiBLmrsubheader"/>
      </w:pPr>
      <w:r w:rsidRPr="00B221D3">
        <w:t>Li</w:t>
      </w:r>
      <w:r w:rsidR="00E256CD">
        <w:t>ens</w:t>
      </w:r>
    </w:p>
    <w:p w14:paraId="3EEDF27B" w14:textId="63D36845" w:rsidR="0010418E" w:rsidRPr="002372C2" w:rsidRDefault="002372C2" w:rsidP="00E256E3">
      <w:pPr>
        <w:pStyle w:val="FiBLmrbulletpoint"/>
        <w:rPr>
          <w:lang w:val="fr-FR"/>
        </w:rPr>
      </w:pPr>
      <w:hyperlink r:id="rId18" w:history="1">
        <w:r w:rsidR="0010418E" w:rsidRPr="00824124">
          <w:rPr>
            <w:rStyle w:val="Hyperlink"/>
            <w:u w:val="none"/>
            <w:lang w:val="fr-FR"/>
          </w:rPr>
          <w:t>fibl.org</w:t>
        </w:r>
      </w:hyperlink>
      <w:r w:rsidR="0010418E" w:rsidRPr="00824124">
        <w:rPr>
          <w:lang w:val="fr-FR"/>
        </w:rPr>
        <w:t>:</w:t>
      </w:r>
      <w:r w:rsidR="0010418E" w:rsidRPr="002372C2">
        <w:rPr>
          <w:lang w:val="fr-FR"/>
        </w:rPr>
        <w:t xml:space="preserve"> </w:t>
      </w:r>
      <w:r w:rsidR="00E256CD" w:rsidRPr="002372C2">
        <w:rPr>
          <w:lang w:val="fr-FR"/>
        </w:rPr>
        <w:t xml:space="preserve">site </w:t>
      </w:r>
      <w:r w:rsidR="008E1B8D" w:rsidRPr="002372C2">
        <w:rPr>
          <w:lang w:val="fr-FR"/>
        </w:rPr>
        <w:t>web</w:t>
      </w:r>
      <w:r w:rsidR="00E256CD" w:rsidRPr="002372C2">
        <w:rPr>
          <w:lang w:val="fr-FR"/>
        </w:rPr>
        <w:t xml:space="preserve"> de </w:t>
      </w:r>
      <w:proofErr w:type="spellStart"/>
      <w:r w:rsidR="00E256CD" w:rsidRPr="002372C2">
        <w:rPr>
          <w:lang w:val="fr-FR"/>
        </w:rPr>
        <w:t>l</w:t>
      </w:r>
      <w:r w:rsidR="00783897" w:rsidRPr="002372C2">
        <w:rPr>
          <w:rFonts w:ascii="Times New Roman" w:hAnsi="Times New Roman" w:cs="Times New Roman"/>
          <w:lang w:val="fr-FR"/>
        </w:rPr>
        <w:t>ʼ</w:t>
      </w:r>
      <w:r w:rsidR="00E256CD" w:rsidRPr="002372C2">
        <w:rPr>
          <w:lang w:val="fr-FR"/>
        </w:rPr>
        <w:t>Institut</w:t>
      </w:r>
      <w:proofErr w:type="spellEnd"/>
      <w:r w:rsidR="00E256CD" w:rsidRPr="002372C2">
        <w:rPr>
          <w:lang w:val="fr-FR"/>
        </w:rPr>
        <w:t xml:space="preserve"> de recherche de </w:t>
      </w:r>
      <w:proofErr w:type="spellStart"/>
      <w:r w:rsidR="00E256CD" w:rsidRPr="002372C2">
        <w:rPr>
          <w:lang w:val="fr-FR"/>
        </w:rPr>
        <w:t>l</w:t>
      </w:r>
      <w:r w:rsidR="00783897" w:rsidRPr="002372C2">
        <w:rPr>
          <w:rFonts w:ascii="Times New Roman" w:hAnsi="Times New Roman" w:cs="Times New Roman"/>
          <w:lang w:val="fr-FR"/>
        </w:rPr>
        <w:t>ʼ</w:t>
      </w:r>
      <w:r w:rsidR="00E256CD" w:rsidRPr="002372C2">
        <w:rPr>
          <w:lang w:val="fr-FR"/>
        </w:rPr>
        <w:t>agriculture</w:t>
      </w:r>
      <w:proofErr w:type="spellEnd"/>
      <w:r w:rsidR="00E256CD" w:rsidRPr="002372C2">
        <w:rPr>
          <w:lang w:val="fr-FR"/>
        </w:rPr>
        <w:t xml:space="preserve"> biologique </w:t>
      </w:r>
      <w:r w:rsidR="00BF01F2" w:rsidRPr="002372C2">
        <w:rPr>
          <w:lang w:val="fr-FR"/>
        </w:rPr>
        <w:t>(</w:t>
      </w:r>
      <w:r w:rsidR="00C92DC4" w:rsidRPr="002372C2">
        <w:rPr>
          <w:lang w:val="fr-FR"/>
        </w:rPr>
        <w:t>FiBL</w:t>
      </w:r>
      <w:r w:rsidR="00BF01F2" w:rsidRPr="002372C2">
        <w:rPr>
          <w:lang w:val="fr-FR"/>
        </w:rPr>
        <w:t>)</w:t>
      </w:r>
    </w:p>
    <w:p w14:paraId="497C2902" w14:textId="05DB2323" w:rsidR="0010418E" w:rsidRPr="0073057A" w:rsidRDefault="002372C2" w:rsidP="00291FFE">
      <w:pPr>
        <w:pStyle w:val="FiBLmrbulletpoint"/>
      </w:pPr>
      <w:hyperlink r:id="rId19" w:history="1">
        <w:r w:rsidR="0010418E" w:rsidRPr="00824124">
          <w:rPr>
            <w:rStyle w:val="Hyperlink"/>
            <w:u w:val="none"/>
          </w:rPr>
          <w:t>ami-informiert.de</w:t>
        </w:r>
      </w:hyperlink>
      <w:r w:rsidR="0010418E" w:rsidRPr="0073057A">
        <w:t xml:space="preserve">: </w:t>
      </w:r>
      <w:proofErr w:type="spellStart"/>
      <w:r w:rsidR="00E256CD" w:rsidRPr="0073057A">
        <w:t>site</w:t>
      </w:r>
      <w:proofErr w:type="spellEnd"/>
      <w:r w:rsidR="008E1B8D" w:rsidRPr="0073057A">
        <w:t xml:space="preserve"> web</w:t>
      </w:r>
      <w:r w:rsidR="00E256CD" w:rsidRPr="0073057A">
        <w:t xml:space="preserve"> de </w:t>
      </w:r>
      <w:proofErr w:type="spellStart"/>
      <w:r w:rsidR="00E256CD" w:rsidRPr="0073057A">
        <w:t>l</w:t>
      </w:r>
      <w:r w:rsidR="00783897" w:rsidRPr="0073057A">
        <w:rPr>
          <w:rFonts w:ascii="Times New Roman" w:hAnsi="Times New Roman" w:cs="Times New Roman"/>
        </w:rPr>
        <w:t>ʼ</w:t>
      </w:r>
      <w:r w:rsidR="00A63717" w:rsidRPr="0073057A">
        <w:t>AMI</w:t>
      </w:r>
      <w:proofErr w:type="spellEnd"/>
      <w:r w:rsidR="00A63717" w:rsidRPr="0073057A">
        <w:t xml:space="preserve"> </w:t>
      </w:r>
      <w:r w:rsidR="00AF68F0" w:rsidRPr="0073057A">
        <w:t>—</w:t>
      </w:r>
      <w:r w:rsidR="00A63717" w:rsidRPr="0073057A">
        <w:t xml:space="preserve"> </w:t>
      </w:r>
      <w:r w:rsidR="00291FFE" w:rsidRPr="0073057A">
        <w:t>Agrarmarkt Inf</w:t>
      </w:r>
      <w:r w:rsidR="00A63717" w:rsidRPr="0073057A">
        <w:t>ormations-Gesellschaft mbH</w:t>
      </w:r>
    </w:p>
    <w:p w14:paraId="3B3E00C7" w14:textId="18C0DEAA" w:rsidR="0010418E" w:rsidRPr="0073057A" w:rsidRDefault="00EE17D1" w:rsidP="00291FFE">
      <w:pPr>
        <w:pStyle w:val="FiBLmrbulletpoint"/>
        <w:rPr>
          <w:lang w:val="fr-CH"/>
        </w:rPr>
      </w:pPr>
      <w:hyperlink r:id="rId20" w:history="1">
        <w:r w:rsidR="00C943A7" w:rsidRPr="0073057A">
          <w:rPr>
            <w:rStyle w:val="Hyperlink"/>
            <w:u w:val="none"/>
            <w:lang w:val="fr-CH"/>
          </w:rPr>
          <w:t>biofach.de</w:t>
        </w:r>
      </w:hyperlink>
      <w:r w:rsidR="00C943A7" w:rsidRPr="0073057A">
        <w:rPr>
          <w:lang w:val="fr-CH"/>
        </w:rPr>
        <w:t>:</w:t>
      </w:r>
      <w:r w:rsidR="0010418E" w:rsidRPr="0073057A">
        <w:rPr>
          <w:lang w:val="fr-CH"/>
        </w:rPr>
        <w:t xml:space="preserve"> </w:t>
      </w:r>
      <w:r w:rsidR="00E256CD" w:rsidRPr="0073057A">
        <w:rPr>
          <w:lang w:val="fr-CH"/>
        </w:rPr>
        <w:t xml:space="preserve">site </w:t>
      </w:r>
      <w:r w:rsidR="008E1B8D" w:rsidRPr="0073057A">
        <w:rPr>
          <w:lang w:val="fr-CH"/>
        </w:rPr>
        <w:t>web</w:t>
      </w:r>
      <w:r w:rsidR="00E256CD" w:rsidRPr="0073057A">
        <w:rPr>
          <w:lang w:val="fr-CH"/>
        </w:rPr>
        <w:t xml:space="preserve"> d</w:t>
      </w:r>
      <w:r w:rsidR="00F519E9" w:rsidRPr="0073057A">
        <w:rPr>
          <w:lang w:val="fr-CH"/>
        </w:rPr>
        <w:t>u salon</w:t>
      </w:r>
      <w:r w:rsidR="00291FFE" w:rsidRPr="0073057A">
        <w:rPr>
          <w:lang w:val="fr-CH"/>
        </w:rPr>
        <w:t xml:space="preserve"> BIOFACH</w:t>
      </w:r>
    </w:p>
    <w:p w14:paraId="30F3C309" w14:textId="53152406" w:rsidR="00646E4A" w:rsidRPr="00C35583" w:rsidRDefault="00415DCD" w:rsidP="008A3482">
      <w:pPr>
        <w:pStyle w:val="FiBLmraddinfo"/>
        <w:rPr>
          <w:lang w:val="fr-FR"/>
        </w:rPr>
      </w:pPr>
      <w:r>
        <w:rPr>
          <w:lang w:val="fr-FR"/>
        </w:rPr>
        <w:t>Session</w:t>
      </w:r>
      <w:r w:rsidR="00C35583" w:rsidRPr="000031BB">
        <w:rPr>
          <w:lang w:val="fr-FR"/>
        </w:rPr>
        <w:t xml:space="preserve"> sur le marché bio européen</w:t>
      </w:r>
      <w:r w:rsidR="008A3482" w:rsidRPr="000031BB">
        <w:rPr>
          <w:lang w:val="fr-FR"/>
        </w:rPr>
        <w:t xml:space="preserve"> </w:t>
      </w:r>
      <w:r w:rsidR="004320E4" w:rsidRPr="000031BB">
        <w:rPr>
          <w:lang w:val="fr-FR"/>
        </w:rPr>
        <w:t>au salon</w:t>
      </w:r>
      <w:r w:rsidR="008A3482" w:rsidRPr="000031BB">
        <w:rPr>
          <w:lang w:val="fr-FR"/>
        </w:rPr>
        <w:t xml:space="preserve"> BIOFACH</w:t>
      </w:r>
      <w:r w:rsidR="005A5923">
        <w:rPr>
          <w:lang w:val="fr-FR"/>
        </w:rPr>
        <w:t> </w:t>
      </w:r>
      <w:r w:rsidR="00C943A7">
        <w:rPr>
          <w:lang w:val="fr-FR"/>
        </w:rPr>
        <w:t>2024</w:t>
      </w:r>
      <w:r w:rsidR="008A3482" w:rsidRPr="000031BB">
        <w:rPr>
          <w:lang w:val="fr-FR"/>
        </w:rPr>
        <w:br/>
      </w:r>
      <w:proofErr w:type="gramStart"/>
      <w:r w:rsidR="008A3482" w:rsidRPr="000031BB">
        <w:rPr>
          <w:lang w:val="fr-FR"/>
        </w:rPr>
        <w:t>(</w:t>
      </w:r>
      <w:r w:rsidR="005A5923">
        <w:rPr>
          <w:lang w:val="fr-FR"/>
        </w:rPr>
        <w:t>«</w:t>
      </w:r>
      <w:r w:rsidR="008A3482" w:rsidRPr="000031BB">
        <w:rPr>
          <w:lang w:val="fr-FR"/>
        </w:rPr>
        <w:t>The</w:t>
      </w:r>
      <w:proofErr w:type="gramEnd"/>
      <w:r w:rsidR="008A3482" w:rsidRPr="000031BB">
        <w:rPr>
          <w:lang w:val="fr-FR"/>
        </w:rPr>
        <w:t xml:space="preserve"> </w:t>
      </w:r>
      <w:proofErr w:type="spellStart"/>
      <w:r w:rsidR="008A3482" w:rsidRPr="000031BB">
        <w:rPr>
          <w:lang w:val="fr-FR"/>
        </w:rPr>
        <w:t>European</w:t>
      </w:r>
      <w:proofErr w:type="spellEnd"/>
      <w:r w:rsidR="008A3482" w:rsidRPr="000031BB">
        <w:rPr>
          <w:lang w:val="fr-FR"/>
        </w:rPr>
        <w:t xml:space="preserve"> </w:t>
      </w:r>
      <w:proofErr w:type="spellStart"/>
      <w:r w:rsidR="008A3482" w:rsidRPr="000031BB">
        <w:rPr>
          <w:lang w:val="fr-FR"/>
        </w:rPr>
        <w:t>market</w:t>
      </w:r>
      <w:proofErr w:type="spellEnd"/>
      <w:r w:rsidR="008A3482" w:rsidRPr="000031BB">
        <w:rPr>
          <w:lang w:val="fr-FR"/>
        </w:rPr>
        <w:t xml:space="preserve"> for </w:t>
      </w:r>
      <w:proofErr w:type="spellStart"/>
      <w:r w:rsidR="008A3482" w:rsidRPr="000031BB">
        <w:rPr>
          <w:lang w:val="fr-FR"/>
        </w:rPr>
        <w:t>organic</w:t>
      </w:r>
      <w:proofErr w:type="spellEnd"/>
      <w:r w:rsidR="008A3482" w:rsidRPr="000031BB">
        <w:rPr>
          <w:lang w:val="fr-FR"/>
        </w:rPr>
        <w:t xml:space="preserve"> </w:t>
      </w:r>
      <w:proofErr w:type="spellStart"/>
      <w:r w:rsidR="008A3482" w:rsidRPr="000031BB">
        <w:rPr>
          <w:lang w:val="fr-FR"/>
        </w:rPr>
        <w:t>food</w:t>
      </w:r>
      <w:proofErr w:type="spellEnd"/>
      <w:r w:rsidR="005A5923">
        <w:rPr>
          <w:lang w:val="fr-FR"/>
        </w:rPr>
        <w:t>»</w:t>
      </w:r>
      <w:r w:rsidR="008A3482" w:rsidRPr="000031BB">
        <w:rPr>
          <w:lang w:val="fr-FR"/>
        </w:rPr>
        <w:t>)</w:t>
      </w:r>
    </w:p>
    <w:p w14:paraId="6F26F9CC" w14:textId="583B3673" w:rsidR="00DB6EFB" w:rsidRPr="00DB6EFB" w:rsidRDefault="00C943A7" w:rsidP="00646E4A">
      <w:pPr>
        <w:pStyle w:val="FiBLmrstandard"/>
        <w:rPr>
          <w:lang w:val="fr-FR"/>
        </w:rPr>
      </w:pPr>
      <w:r>
        <w:rPr>
          <w:lang w:val="fr-FR"/>
        </w:rPr>
        <w:t>Mardi</w:t>
      </w:r>
      <w:r w:rsidR="004106A4" w:rsidRPr="00DB6EFB">
        <w:rPr>
          <w:lang w:val="fr-FR"/>
        </w:rPr>
        <w:t xml:space="preserve"> </w:t>
      </w:r>
      <w:r>
        <w:rPr>
          <w:lang w:val="fr-FR"/>
        </w:rPr>
        <w:t>13</w:t>
      </w:r>
      <w:r w:rsidR="004106A4" w:rsidRPr="00DB6EFB">
        <w:rPr>
          <w:lang w:val="fr-FR"/>
        </w:rPr>
        <w:t> février </w:t>
      </w:r>
      <w:r>
        <w:rPr>
          <w:lang w:val="fr-FR"/>
        </w:rPr>
        <w:t>2024</w:t>
      </w:r>
      <w:r w:rsidR="00B221D3" w:rsidRPr="00DB6EFB">
        <w:rPr>
          <w:lang w:val="fr-FR"/>
        </w:rPr>
        <w:t xml:space="preserve">, </w:t>
      </w:r>
      <w:r w:rsidR="004106A4" w:rsidRPr="00DB6EFB">
        <w:rPr>
          <w:lang w:val="fr-FR"/>
        </w:rPr>
        <w:t xml:space="preserve">de </w:t>
      </w:r>
      <w:r w:rsidR="00B221D3" w:rsidRPr="00DB6EFB">
        <w:rPr>
          <w:lang w:val="fr-FR"/>
        </w:rPr>
        <w:t>1</w:t>
      </w:r>
      <w:r>
        <w:rPr>
          <w:lang w:val="fr-FR"/>
        </w:rPr>
        <w:t>7</w:t>
      </w:r>
      <w:r w:rsidR="00B14B64">
        <w:rPr>
          <w:lang w:val="fr-FR"/>
        </w:rPr>
        <w:t> </w:t>
      </w:r>
      <w:r w:rsidR="004106A4" w:rsidRPr="00DB6EFB">
        <w:rPr>
          <w:lang w:val="fr-FR"/>
        </w:rPr>
        <w:t>h</w:t>
      </w:r>
      <w:r w:rsidR="00B14B64">
        <w:rPr>
          <w:lang w:val="fr-FR"/>
        </w:rPr>
        <w:t> </w:t>
      </w:r>
      <w:r w:rsidR="00B221D3" w:rsidRPr="00DB6EFB">
        <w:rPr>
          <w:lang w:val="fr-FR"/>
        </w:rPr>
        <w:t>00</w:t>
      </w:r>
      <w:r w:rsidR="004106A4" w:rsidRPr="00DB6EFB">
        <w:rPr>
          <w:lang w:val="fr-FR"/>
        </w:rPr>
        <w:t xml:space="preserve"> à </w:t>
      </w:r>
      <w:r w:rsidR="00B221D3" w:rsidRPr="00DB6EFB">
        <w:rPr>
          <w:lang w:val="fr-FR"/>
        </w:rPr>
        <w:t>1</w:t>
      </w:r>
      <w:r>
        <w:rPr>
          <w:lang w:val="fr-FR"/>
        </w:rPr>
        <w:t>8</w:t>
      </w:r>
      <w:r w:rsidR="00B14B64">
        <w:rPr>
          <w:lang w:val="fr-FR"/>
        </w:rPr>
        <w:t> </w:t>
      </w:r>
      <w:r w:rsidR="004106A4" w:rsidRPr="00DB6EFB">
        <w:rPr>
          <w:lang w:val="fr-FR"/>
        </w:rPr>
        <w:t>h</w:t>
      </w:r>
      <w:r w:rsidR="00B14B64">
        <w:rPr>
          <w:lang w:val="fr-FR"/>
        </w:rPr>
        <w:t> </w:t>
      </w:r>
      <w:r>
        <w:rPr>
          <w:lang w:val="fr-FR"/>
        </w:rPr>
        <w:t>00</w:t>
      </w:r>
      <w:r w:rsidR="006E31AD">
        <w:rPr>
          <w:lang w:val="fr-FR"/>
        </w:rPr>
        <w:t xml:space="preserve"> (CET)</w:t>
      </w:r>
    </w:p>
    <w:p w14:paraId="6D466FEE" w14:textId="281149BA" w:rsidR="00022073" w:rsidRPr="00DB6EFB" w:rsidRDefault="00D53E34" w:rsidP="00646E4A">
      <w:pPr>
        <w:pStyle w:val="FiBLmrstandard"/>
        <w:rPr>
          <w:color w:val="000000" w:themeColor="text1"/>
          <w:lang w:val="fr-FR"/>
        </w:rPr>
      </w:pPr>
      <w:proofErr w:type="gramStart"/>
      <w:r w:rsidRPr="00AE7716">
        <w:rPr>
          <w:b/>
          <w:bCs/>
          <w:color w:val="000000" w:themeColor="text1"/>
          <w:lang w:val="fr-FR"/>
        </w:rPr>
        <w:t>Intervenants:</w:t>
      </w:r>
      <w:proofErr w:type="gramEnd"/>
    </w:p>
    <w:p w14:paraId="2E683FFC" w14:textId="3A463A4A" w:rsidR="00C943A7" w:rsidRPr="00C943A7" w:rsidRDefault="00C943A7" w:rsidP="00C943A7">
      <w:pPr>
        <w:pStyle w:val="FiBLmrbulletpoint"/>
        <w:rPr>
          <w:lang w:val="fr-CH"/>
        </w:rPr>
      </w:pPr>
      <w:r w:rsidRPr="00C943A7">
        <w:rPr>
          <w:lang w:val="fr-CH"/>
        </w:rPr>
        <w:t xml:space="preserve">Dr Susanne </w:t>
      </w:r>
      <w:proofErr w:type="spellStart"/>
      <w:r w:rsidRPr="00C943A7">
        <w:rPr>
          <w:lang w:val="fr-CH"/>
        </w:rPr>
        <w:t>Padel</w:t>
      </w:r>
      <w:proofErr w:type="spellEnd"/>
      <w:r w:rsidRPr="00C943A7">
        <w:rPr>
          <w:lang w:val="fr-CH"/>
        </w:rPr>
        <w:t>, Allemagne</w:t>
      </w:r>
    </w:p>
    <w:p w14:paraId="706B6389" w14:textId="6A30C306" w:rsidR="00C943A7" w:rsidRPr="00C943A7" w:rsidRDefault="00C943A7" w:rsidP="00C943A7">
      <w:pPr>
        <w:pStyle w:val="FiBLmrbulletpoint"/>
        <w:rPr>
          <w:lang w:val="fr-CH"/>
        </w:rPr>
      </w:pPr>
      <w:r w:rsidRPr="00C943A7">
        <w:rPr>
          <w:lang w:val="fr-CH"/>
        </w:rPr>
        <w:t xml:space="preserve">Jan Trávníček, Institut de recherche </w:t>
      </w:r>
      <w:r w:rsidR="00AE00E2">
        <w:rPr>
          <w:lang w:val="fr-CH"/>
        </w:rPr>
        <w:t>de</w:t>
      </w:r>
      <w:r w:rsidR="00AE00E2" w:rsidRPr="00C943A7">
        <w:rPr>
          <w:lang w:val="fr-CH"/>
        </w:rPr>
        <w:t xml:space="preserve"> </w:t>
      </w:r>
      <w:proofErr w:type="spellStart"/>
      <w:r w:rsidRPr="00C943A7">
        <w:rPr>
          <w:lang w:val="fr-CH"/>
        </w:rPr>
        <w:t>l</w:t>
      </w:r>
      <w:r w:rsidR="00783897">
        <w:rPr>
          <w:rFonts w:ascii="Times New Roman" w:hAnsi="Times New Roman" w:cs="Times New Roman"/>
          <w:lang w:val="fr-CH"/>
        </w:rPr>
        <w:t>ʼ</w:t>
      </w:r>
      <w:r w:rsidRPr="00C943A7">
        <w:rPr>
          <w:lang w:val="fr-CH"/>
        </w:rPr>
        <w:t>agriculture</w:t>
      </w:r>
      <w:proofErr w:type="spellEnd"/>
      <w:r w:rsidRPr="00C943A7">
        <w:rPr>
          <w:lang w:val="fr-CH"/>
        </w:rPr>
        <w:t xml:space="preserve"> biologique FiBL, Suisse</w:t>
      </w:r>
    </w:p>
    <w:p w14:paraId="62D6796D" w14:textId="5F455254" w:rsidR="00C943A7" w:rsidRPr="00AE7716" w:rsidRDefault="00C943A7" w:rsidP="00C943A7">
      <w:pPr>
        <w:pStyle w:val="FiBLmrbulletpoint"/>
        <w:rPr>
          <w:lang w:val="de-DE"/>
        </w:rPr>
      </w:pPr>
      <w:r w:rsidRPr="00AE7716">
        <w:rPr>
          <w:lang w:val="de-DE"/>
        </w:rPr>
        <w:t xml:space="preserve">Diana </w:t>
      </w:r>
      <w:proofErr w:type="spellStart"/>
      <w:r w:rsidRPr="00AE7716">
        <w:rPr>
          <w:lang w:val="de-DE"/>
        </w:rPr>
        <w:t>Schaack</w:t>
      </w:r>
      <w:proofErr w:type="spellEnd"/>
      <w:r w:rsidRPr="00AE7716">
        <w:rPr>
          <w:lang w:val="de-DE"/>
        </w:rPr>
        <w:t xml:space="preserve">, </w:t>
      </w:r>
      <w:r w:rsidR="007829FC" w:rsidRPr="001527A7">
        <w:rPr>
          <w:lang w:eastAsia="de-CH"/>
        </w:rPr>
        <w:t>Agrarmarkt Informations-Gesellschaft mbH</w:t>
      </w:r>
      <w:r w:rsidRPr="00AE7716">
        <w:rPr>
          <w:lang w:val="de-DE"/>
        </w:rPr>
        <w:t xml:space="preserve">, </w:t>
      </w:r>
      <w:proofErr w:type="spellStart"/>
      <w:r w:rsidRPr="00AE7716">
        <w:rPr>
          <w:lang w:val="de-DE"/>
        </w:rPr>
        <w:t>Allemagne</w:t>
      </w:r>
      <w:proofErr w:type="spellEnd"/>
    </w:p>
    <w:p w14:paraId="58FD31C6" w14:textId="77777777" w:rsidR="00C943A7" w:rsidRPr="00C943A7" w:rsidRDefault="00C943A7" w:rsidP="00C943A7">
      <w:pPr>
        <w:pStyle w:val="FiBLmrbulletpoint"/>
        <w:rPr>
          <w:lang w:val="fr-CH"/>
        </w:rPr>
      </w:pPr>
      <w:r w:rsidRPr="00C943A7">
        <w:rPr>
          <w:lang w:val="fr-CH"/>
        </w:rPr>
        <w:t>Sarah Le Douarin, Agence Bio, France</w:t>
      </w:r>
    </w:p>
    <w:p w14:paraId="046B5758" w14:textId="01744081" w:rsidR="00C943A7" w:rsidRPr="00AE7716" w:rsidRDefault="00C943A7" w:rsidP="00C943A7">
      <w:pPr>
        <w:pStyle w:val="FiBLmrbulletpoint"/>
        <w:rPr>
          <w:lang w:val="en-US"/>
        </w:rPr>
      </w:pPr>
      <w:r w:rsidRPr="00AE7716">
        <w:rPr>
          <w:lang w:val="en-US"/>
        </w:rPr>
        <w:t xml:space="preserve">Lee </w:t>
      </w:r>
      <w:proofErr w:type="spellStart"/>
      <w:r w:rsidRPr="00AE7716">
        <w:rPr>
          <w:lang w:val="en-US"/>
        </w:rPr>
        <w:t>Holdstock</w:t>
      </w:r>
      <w:proofErr w:type="spellEnd"/>
      <w:r w:rsidRPr="00AE7716">
        <w:rPr>
          <w:lang w:val="en-US"/>
        </w:rPr>
        <w:t xml:space="preserve">, </w:t>
      </w:r>
      <w:r w:rsidR="007829FC" w:rsidRPr="00AE7716">
        <w:rPr>
          <w:lang w:val="en-US" w:eastAsia="de-CH"/>
        </w:rPr>
        <w:t>Soil Association Certification</w:t>
      </w:r>
    </w:p>
    <w:p w14:paraId="2502795A" w14:textId="6C9E785B" w:rsidR="00C943A7" w:rsidRPr="00947D86" w:rsidRDefault="00C943A7" w:rsidP="00C943A7">
      <w:pPr>
        <w:pStyle w:val="FiBLmrbulletpoint"/>
        <w:rPr>
          <w:lang w:val="it-CH"/>
        </w:rPr>
      </w:pPr>
      <w:r w:rsidRPr="00947D86">
        <w:rPr>
          <w:lang w:val="it-CH"/>
        </w:rPr>
        <w:t xml:space="preserve">Prof. Dr Raffaele Zanoli et le </w:t>
      </w:r>
      <w:proofErr w:type="spellStart"/>
      <w:r w:rsidRPr="00947D86">
        <w:rPr>
          <w:lang w:val="it-CH"/>
        </w:rPr>
        <w:t>professeur</w:t>
      </w:r>
      <w:proofErr w:type="spellEnd"/>
      <w:r w:rsidRPr="00947D86">
        <w:rPr>
          <w:lang w:val="it-CH"/>
        </w:rPr>
        <w:t xml:space="preserve"> Francesco Solfanelli, </w:t>
      </w:r>
      <w:proofErr w:type="spellStart"/>
      <w:r w:rsidR="00267EB0" w:rsidRPr="00947D86">
        <w:rPr>
          <w:lang w:val="it-CH" w:eastAsia="de-CH"/>
        </w:rPr>
        <w:t>Universtà</w:t>
      </w:r>
      <w:proofErr w:type="spellEnd"/>
      <w:r w:rsidR="00267EB0" w:rsidRPr="00947D86">
        <w:rPr>
          <w:lang w:val="it-CH" w:eastAsia="de-CH"/>
        </w:rPr>
        <w:t xml:space="preserve"> Politecnica delle Marche</w:t>
      </w:r>
      <w:r w:rsidRPr="00947D86">
        <w:rPr>
          <w:lang w:val="it-CH"/>
        </w:rPr>
        <w:t xml:space="preserve"> (UNIVPM), Italie</w:t>
      </w:r>
    </w:p>
    <w:p w14:paraId="35BAFEC9" w14:textId="5A44A486" w:rsidR="00646E4A" w:rsidRPr="0073057A" w:rsidRDefault="009C26C0" w:rsidP="00C943A7">
      <w:pPr>
        <w:pStyle w:val="FiBLmrstandard"/>
        <w:rPr>
          <w:lang w:val="fr-FR"/>
        </w:rPr>
      </w:pPr>
      <w:r w:rsidRPr="005B74F9">
        <w:rPr>
          <w:lang w:val="fr-FR"/>
        </w:rPr>
        <w:t xml:space="preserve">Plus </w:t>
      </w:r>
      <w:proofErr w:type="spellStart"/>
      <w:r w:rsidRPr="0073057A">
        <w:rPr>
          <w:lang w:val="fr-FR"/>
        </w:rPr>
        <w:t>d</w:t>
      </w:r>
      <w:r w:rsidR="00783897" w:rsidRPr="0073057A">
        <w:rPr>
          <w:rFonts w:ascii="Times New Roman" w:hAnsi="Times New Roman" w:cs="Times New Roman"/>
          <w:lang w:val="fr-FR"/>
        </w:rPr>
        <w:t>ʼ</w:t>
      </w:r>
      <w:r w:rsidRPr="0073057A">
        <w:rPr>
          <w:lang w:val="fr-FR"/>
        </w:rPr>
        <w:t>informations</w:t>
      </w:r>
      <w:proofErr w:type="spellEnd"/>
      <w:r w:rsidRPr="0073057A">
        <w:rPr>
          <w:lang w:val="fr-FR"/>
        </w:rPr>
        <w:t xml:space="preserve"> sur</w:t>
      </w:r>
      <w:r w:rsidR="002E78C0" w:rsidRPr="0073057A">
        <w:rPr>
          <w:lang w:val="fr-FR"/>
        </w:rPr>
        <w:t xml:space="preserve"> </w:t>
      </w:r>
      <w:hyperlink r:id="rId21" w:anchor="c73663" w:history="1">
        <w:r w:rsidR="00C943A7" w:rsidRPr="0073057A">
          <w:rPr>
            <w:rStyle w:val="Hyperlink"/>
            <w:u w:val="none"/>
            <w:lang w:val="fr-CH"/>
          </w:rPr>
          <w:t>https://biofach.fibl.org/biofach-alle/biofach-2024#c73663</w:t>
        </w:r>
      </w:hyperlink>
    </w:p>
    <w:p w14:paraId="61CD374A" w14:textId="5E27A60F" w:rsidR="00F678FA" w:rsidRPr="0073057A" w:rsidRDefault="006A0CBC" w:rsidP="00F678FA">
      <w:pPr>
        <w:pStyle w:val="FiBLmraddinfo"/>
        <w:rPr>
          <w:lang w:val="fr-FR"/>
        </w:rPr>
      </w:pPr>
      <w:r w:rsidRPr="0073057A">
        <w:rPr>
          <w:lang w:val="fr-FR"/>
        </w:rPr>
        <w:t>Pour consulter ce communiqué aux médias sur</w:t>
      </w:r>
      <w:r w:rsidR="0018097B" w:rsidRPr="0073057A">
        <w:rPr>
          <w:lang w:val="fr-FR"/>
        </w:rPr>
        <w:t xml:space="preserve"> Internet</w:t>
      </w:r>
    </w:p>
    <w:p w14:paraId="18CEFCA9" w14:textId="1373B451" w:rsidR="00F678FA" w:rsidRDefault="006A0CBC" w:rsidP="00F678FA">
      <w:pPr>
        <w:pStyle w:val="FiBLmrstandard"/>
        <w:rPr>
          <w:lang w:val="fr-FR"/>
        </w:rPr>
      </w:pPr>
      <w:r w:rsidRPr="0073057A">
        <w:rPr>
          <w:lang w:val="fr-FR"/>
        </w:rPr>
        <w:t xml:space="preserve">Vous trouverez le présent communiqué aux médias ainsi que des </w:t>
      </w:r>
      <w:r w:rsidR="00CC617A" w:rsidRPr="0073057A">
        <w:rPr>
          <w:lang w:val="fr-FR"/>
        </w:rPr>
        <w:t>infographies</w:t>
      </w:r>
      <w:r w:rsidRPr="0073057A">
        <w:rPr>
          <w:lang w:val="fr-FR"/>
        </w:rPr>
        <w:t xml:space="preserve"> </w:t>
      </w:r>
      <w:r w:rsidR="006D7225" w:rsidRPr="0073057A">
        <w:rPr>
          <w:lang w:val="fr-FR"/>
        </w:rPr>
        <w:t xml:space="preserve">à </w:t>
      </w:r>
      <w:proofErr w:type="spellStart"/>
      <w:r w:rsidR="006D7225" w:rsidRPr="0073057A">
        <w:rPr>
          <w:lang w:val="fr-FR"/>
        </w:rPr>
        <w:t>l</w:t>
      </w:r>
      <w:r w:rsidR="00783897" w:rsidRPr="0073057A">
        <w:rPr>
          <w:rFonts w:ascii="Times New Roman" w:hAnsi="Times New Roman" w:cs="Times New Roman"/>
          <w:lang w:val="fr-FR"/>
        </w:rPr>
        <w:t>ʼ</w:t>
      </w:r>
      <w:r w:rsidR="006D7225" w:rsidRPr="0073057A">
        <w:rPr>
          <w:lang w:val="fr-FR"/>
        </w:rPr>
        <w:t>adresse</w:t>
      </w:r>
      <w:proofErr w:type="spellEnd"/>
      <w:r w:rsidR="00CC617A" w:rsidRPr="0073057A">
        <w:rPr>
          <w:lang w:val="fr-FR"/>
        </w:rPr>
        <w:t xml:space="preserve"> </w:t>
      </w:r>
      <w:proofErr w:type="gramStart"/>
      <w:r w:rsidR="00CC617A" w:rsidRPr="0073057A">
        <w:rPr>
          <w:lang w:val="fr-FR"/>
        </w:rPr>
        <w:t>suivante</w:t>
      </w:r>
      <w:r w:rsidR="006D7225" w:rsidRPr="0073057A">
        <w:rPr>
          <w:lang w:val="fr-FR"/>
        </w:rPr>
        <w:t>:</w:t>
      </w:r>
      <w:proofErr w:type="gramEnd"/>
      <w:r w:rsidR="00B90EB6" w:rsidRPr="00824124">
        <w:rPr>
          <w:lang w:val="fr-FR"/>
        </w:rPr>
        <w:t xml:space="preserve"> </w:t>
      </w:r>
      <w:bookmarkStart w:id="0" w:name="_GoBack"/>
      <w:r w:rsidR="00824124" w:rsidRPr="008C148D">
        <w:rPr>
          <w:lang w:val="fr-FR"/>
        </w:rPr>
        <w:fldChar w:fldCharType="begin"/>
      </w:r>
      <w:r w:rsidR="00824124" w:rsidRPr="008C148D">
        <w:rPr>
          <w:lang w:val="fr-FR"/>
        </w:rPr>
        <w:instrText xml:space="preserve"> HYPERLINK "https://www.fibl.org/fr/infotheque/medias.html" </w:instrText>
      </w:r>
      <w:r w:rsidR="00824124" w:rsidRPr="008C148D">
        <w:rPr>
          <w:lang w:val="fr-FR"/>
        </w:rPr>
        <w:fldChar w:fldCharType="separate"/>
      </w:r>
      <w:r w:rsidR="00824124" w:rsidRPr="008C148D">
        <w:rPr>
          <w:rStyle w:val="Hyperlink"/>
          <w:u w:val="none"/>
          <w:lang w:val="fr-FR"/>
        </w:rPr>
        <w:t>https://www.fibl.org/fr/infotheque/medias.html</w:t>
      </w:r>
      <w:r w:rsidR="00824124" w:rsidRPr="008C148D">
        <w:rPr>
          <w:lang w:val="fr-FR"/>
        </w:rPr>
        <w:fldChar w:fldCharType="end"/>
      </w:r>
      <w:bookmarkEnd w:id="0"/>
    </w:p>
    <w:p w14:paraId="624CA0D3" w14:textId="77777777" w:rsidR="00C738A7" w:rsidRPr="00C738A7" w:rsidRDefault="00C738A7" w:rsidP="00C738A7">
      <w:pPr>
        <w:pStyle w:val="FiBLmraddinfo"/>
        <w:rPr>
          <w:lang w:val="fr-FR"/>
        </w:rPr>
      </w:pPr>
      <w:r w:rsidRPr="00C738A7">
        <w:rPr>
          <w:lang w:val="fr-FR"/>
        </w:rPr>
        <w:t xml:space="preserve">Remerciements </w:t>
      </w:r>
    </w:p>
    <w:p w14:paraId="30C29A11" w14:textId="1392D9F9" w:rsidR="00C738A7" w:rsidRPr="00C738A7" w:rsidRDefault="00C738A7" w:rsidP="00C738A7">
      <w:pPr>
        <w:pStyle w:val="FiBLmrstandard"/>
        <w:rPr>
          <w:lang w:val="fr-FR"/>
        </w:rPr>
      </w:pPr>
      <w:proofErr w:type="spellStart"/>
      <w:r w:rsidRPr="00C738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738A7">
        <w:rPr>
          <w:lang w:val="fr-FR"/>
        </w:rPr>
        <w:t>enquête</w:t>
      </w:r>
      <w:proofErr w:type="spellEnd"/>
      <w:r w:rsidRPr="00C738A7">
        <w:rPr>
          <w:lang w:val="fr-FR"/>
        </w:rPr>
        <w:t xml:space="preserve"> sur </w:t>
      </w:r>
      <w:proofErr w:type="spellStart"/>
      <w:r w:rsidRPr="00C738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738A7">
        <w:rPr>
          <w:lang w:val="fr-FR"/>
        </w:rPr>
        <w:t>agriculture</w:t>
      </w:r>
      <w:proofErr w:type="spellEnd"/>
      <w:r w:rsidRPr="00C738A7">
        <w:rPr>
          <w:lang w:val="fr-FR"/>
        </w:rPr>
        <w:t xml:space="preserve"> biologique en Europe est réalisée par le FiBL et </w:t>
      </w:r>
      <w:proofErr w:type="spellStart"/>
      <w:r w:rsidRPr="00C738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738A7">
        <w:rPr>
          <w:lang w:val="fr-FR"/>
        </w:rPr>
        <w:t>AMI</w:t>
      </w:r>
      <w:proofErr w:type="spellEnd"/>
      <w:r w:rsidRPr="00C738A7">
        <w:rPr>
          <w:lang w:val="fr-FR"/>
        </w:rPr>
        <w:t xml:space="preserve">. La collecte de données du FiBL a été réalisée dans le cadre de </w:t>
      </w:r>
      <w:proofErr w:type="spellStart"/>
      <w:r w:rsidRPr="00C738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738A7">
        <w:rPr>
          <w:lang w:val="fr-FR"/>
        </w:rPr>
        <w:t>enquête</w:t>
      </w:r>
      <w:proofErr w:type="spellEnd"/>
      <w:r w:rsidRPr="00C738A7">
        <w:rPr>
          <w:lang w:val="fr-FR"/>
        </w:rPr>
        <w:t xml:space="preserve"> globale sur </w:t>
      </w:r>
      <w:proofErr w:type="spellStart"/>
      <w:r w:rsidRPr="00C738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738A7">
        <w:rPr>
          <w:lang w:val="fr-FR"/>
        </w:rPr>
        <w:t>agriculture</w:t>
      </w:r>
      <w:proofErr w:type="spellEnd"/>
      <w:r w:rsidRPr="00C738A7">
        <w:rPr>
          <w:lang w:val="fr-FR"/>
        </w:rPr>
        <w:t xml:space="preserve"> biologique, </w:t>
      </w:r>
      <w:r w:rsidR="009C4FC3">
        <w:rPr>
          <w:lang w:val="fr-FR"/>
        </w:rPr>
        <w:t>avec le soutien du</w:t>
      </w:r>
      <w:r w:rsidRPr="00C738A7">
        <w:rPr>
          <w:lang w:val="fr-FR"/>
        </w:rPr>
        <w:t xml:space="preserve"> Secrétariat </w:t>
      </w:r>
      <w:proofErr w:type="spellStart"/>
      <w:r w:rsidRPr="00C738A7">
        <w:rPr>
          <w:lang w:val="fr-FR"/>
        </w:rPr>
        <w:t>d</w:t>
      </w:r>
      <w:r w:rsidR="00783897">
        <w:rPr>
          <w:rFonts w:ascii="Times New Roman" w:hAnsi="Times New Roman" w:cs="Times New Roman"/>
          <w:lang w:val="fr-FR"/>
        </w:rPr>
        <w:t>ʼ</w:t>
      </w:r>
      <w:r w:rsidRPr="00C738A7">
        <w:rPr>
          <w:lang w:val="fr-FR"/>
        </w:rPr>
        <w:t>État</w:t>
      </w:r>
      <w:proofErr w:type="spellEnd"/>
      <w:r w:rsidRPr="00C738A7">
        <w:rPr>
          <w:lang w:val="fr-FR"/>
        </w:rPr>
        <w:t xml:space="preserve"> suisse à </w:t>
      </w:r>
      <w:proofErr w:type="spellStart"/>
      <w:r w:rsidRPr="00C738A7">
        <w:rPr>
          <w:lang w:val="fr-FR"/>
        </w:rPr>
        <w:t>l</w:t>
      </w:r>
      <w:r w:rsidR="00783897">
        <w:rPr>
          <w:rFonts w:ascii="Times New Roman" w:hAnsi="Times New Roman" w:cs="Times New Roman"/>
          <w:lang w:val="fr-FR"/>
        </w:rPr>
        <w:t>ʼ</w:t>
      </w:r>
      <w:r w:rsidRPr="00C738A7">
        <w:rPr>
          <w:lang w:val="fr-FR"/>
        </w:rPr>
        <w:t>économie</w:t>
      </w:r>
      <w:proofErr w:type="spellEnd"/>
      <w:r w:rsidRPr="00C738A7">
        <w:rPr>
          <w:lang w:val="fr-FR"/>
        </w:rPr>
        <w:t xml:space="preserve"> </w:t>
      </w:r>
      <w:r w:rsidRPr="00C738A7">
        <w:rPr>
          <w:lang w:val="fr-FR"/>
        </w:rPr>
        <w:lastRenderedPageBreak/>
        <w:t xml:space="preserve">(SECO), le Fonds Coop pour le développement durable, la </w:t>
      </w:r>
      <w:proofErr w:type="spellStart"/>
      <w:r w:rsidRPr="00C738A7">
        <w:rPr>
          <w:lang w:val="fr-FR"/>
        </w:rPr>
        <w:t>NürnbergMesse</w:t>
      </w:r>
      <w:proofErr w:type="spellEnd"/>
      <w:r w:rsidRPr="00C738A7">
        <w:rPr>
          <w:lang w:val="fr-FR"/>
        </w:rPr>
        <w:t xml:space="preserve"> et IFOAM </w:t>
      </w:r>
      <w:r w:rsidR="00671D59">
        <w:rPr>
          <w:lang w:val="fr-FR"/>
        </w:rPr>
        <w:sym w:font="Symbol" w:char="F02D"/>
      </w:r>
      <w:r w:rsidRPr="00C738A7">
        <w:rPr>
          <w:lang w:val="fr-FR"/>
        </w:rPr>
        <w:t xml:space="preserve"> Organics International.</w:t>
      </w:r>
    </w:p>
    <w:p w14:paraId="2E0CAAFD" w14:textId="60599C15" w:rsidR="00C738A7" w:rsidRPr="006A0CBC" w:rsidRDefault="00C738A7" w:rsidP="00C738A7">
      <w:pPr>
        <w:pStyle w:val="FiBLmrstandard"/>
        <w:rPr>
          <w:lang w:val="fr-FR"/>
        </w:rPr>
      </w:pPr>
      <w:r w:rsidRPr="00C738A7">
        <w:rPr>
          <w:lang w:val="fr-FR"/>
        </w:rPr>
        <w:t xml:space="preserve">Les opinions </w:t>
      </w:r>
      <w:r w:rsidR="00650982">
        <w:rPr>
          <w:lang w:val="fr-FR"/>
        </w:rPr>
        <w:t xml:space="preserve">exprimées dans la présente publication sont celles </w:t>
      </w:r>
      <w:r w:rsidRPr="00C738A7">
        <w:rPr>
          <w:lang w:val="fr-FR"/>
        </w:rPr>
        <w:t xml:space="preserve">des auteurs </w:t>
      </w:r>
      <w:r w:rsidR="00650982">
        <w:rPr>
          <w:lang w:val="fr-FR"/>
        </w:rPr>
        <w:t xml:space="preserve">et </w:t>
      </w:r>
      <w:proofErr w:type="spellStart"/>
      <w:r w:rsidR="00650982">
        <w:rPr>
          <w:lang w:val="fr-FR"/>
        </w:rPr>
        <w:t>n</w:t>
      </w:r>
      <w:r w:rsidR="00783897">
        <w:rPr>
          <w:rFonts w:ascii="Times New Roman" w:hAnsi="Times New Roman" w:cs="Times New Roman"/>
          <w:lang w:val="fr-FR"/>
        </w:rPr>
        <w:t>ʼ</w:t>
      </w:r>
      <w:r w:rsidR="00650982">
        <w:rPr>
          <w:lang w:val="fr-FR"/>
        </w:rPr>
        <w:t>engagent</w:t>
      </w:r>
      <w:proofErr w:type="spellEnd"/>
      <w:r w:rsidR="00650982">
        <w:rPr>
          <w:lang w:val="fr-FR"/>
        </w:rPr>
        <w:t xml:space="preserve"> </w:t>
      </w:r>
      <w:proofErr w:type="spellStart"/>
      <w:r w:rsidR="00650982">
        <w:rPr>
          <w:lang w:val="fr-FR"/>
        </w:rPr>
        <w:t>qu</w:t>
      </w:r>
      <w:r w:rsidR="00783897">
        <w:rPr>
          <w:rFonts w:ascii="Times New Roman" w:hAnsi="Times New Roman" w:cs="Times New Roman"/>
          <w:lang w:val="fr-FR"/>
        </w:rPr>
        <w:t>ʼ</w:t>
      </w:r>
      <w:r w:rsidR="00650982">
        <w:rPr>
          <w:lang w:val="fr-FR"/>
        </w:rPr>
        <w:t>eux-mêmes</w:t>
      </w:r>
      <w:proofErr w:type="spellEnd"/>
      <w:r w:rsidR="00650982">
        <w:rPr>
          <w:lang w:val="fr-FR"/>
        </w:rPr>
        <w:t>.</w:t>
      </w:r>
    </w:p>
    <w:p w14:paraId="57BF8CA6" w14:textId="1F22B924" w:rsidR="002C0814" w:rsidRPr="005019B0" w:rsidRDefault="00A00192" w:rsidP="0044286A">
      <w:pPr>
        <w:pStyle w:val="FiBLmrannotationtitle"/>
        <w:rPr>
          <w:lang w:val="fr-FR"/>
        </w:rPr>
      </w:pPr>
      <w:r w:rsidRPr="005019B0">
        <w:rPr>
          <w:lang w:val="fr-FR"/>
        </w:rPr>
        <w:t>À propos du</w:t>
      </w:r>
      <w:r w:rsidR="00D35602" w:rsidRPr="00A00192">
        <w:rPr>
          <w:lang w:val="fr-FR"/>
        </w:rPr>
        <w:t xml:space="preserve"> </w:t>
      </w:r>
      <w:r w:rsidR="00D35602" w:rsidRPr="005019B0">
        <w:rPr>
          <w:lang w:val="fr-FR"/>
        </w:rPr>
        <w:t>FiBL</w:t>
      </w:r>
    </w:p>
    <w:p w14:paraId="3D57F59F" w14:textId="667DB3F5" w:rsidR="00C943A7" w:rsidRPr="00D04F9F" w:rsidRDefault="00C943A7" w:rsidP="00C943A7">
      <w:pPr>
        <w:pStyle w:val="FiBLmrannotation"/>
        <w:rPr>
          <w:lang w:val="fr-CH"/>
        </w:rPr>
      </w:pPr>
      <w:proofErr w:type="spellStart"/>
      <w:r w:rsidRPr="00D04F9F">
        <w:rPr>
          <w:lang w:val="fr-CH"/>
        </w:rPr>
        <w:t>L</w:t>
      </w:r>
      <w:r w:rsidR="00783897">
        <w:rPr>
          <w:rFonts w:ascii="Arial" w:hAnsi="Arial" w:cs="Arial"/>
          <w:lang w:val="fr-CH"/>
        </w:rPr>
        <w:t>ʼ</w:t>
      </w:r>
      <w:r w:rsidRPr="00D04F9F">
        <w:rPr>
          <w:lang w:val="fr-CH"/>
        </w:rPr>
        <w:t>Institut</w:t>
      </w:r>
      <w:proofErr w:type="spellEnd"/>
      <w:r w:rsidRPr="00D04F9F">
        <w:rPr>
          <w:lang w:val="fr-CH"/>
        </w:rPr>
        <w:t xml:space="preserve"> de recherche de </w:t>
      </w:r>
      <w:proofErr w:type="spellStart"/>
      <w:r w:rsidRPr="00D04F9F">
        <w:rPr>
          <w:lang w:val="fr-CH"/>
        </w:rPr>
        <w:t>l</w:t>
      </w:r>
      <w:r w:rsidR="00783897">
        <w:rPr>
          <w:rFonts w:ascii="Arial" w:hAnsi="Arial" w:cs="Arial"/>
          <w:lang w:val="fr-CH"/>
        </w:rPr>
        <w:t>ʼ</w:t>
      </w:r>
      <w:r w:rsidRPr="00D04F9F">
        <w:rPr>
          <w:lang w:val="fr-CH"/>
        </w:rPr>
        <w:t>agriculture</w:t>
      </w:r>
      <w:proofErr w:type="spellEnd"/>
      <w:r w:rsidRPr="00D04F9F">
        <w:rPr>
          <w:lang w:val="fr-CH"/>
        </w:rPr>
        <w:t xml:space="preserve"> biologique FiBL est </w:t>
      </w:r>
      <w:proofErr w:type="spellStart"/>
      <w:r w:rsidRPr="00D04F9F">
        <w:rPr>
          <w:lang w:val="fr-CH"/>
        </w:rPr>
        <w:t>l</w:t>
      </w:r>
      <w:r w:rsidR="00783897">
        <w:rPr>
          <w:rFonts w:ascii="Arial" w:hAnsi="Arial" w:cs="Arial"/>
          <w:lang w:val="fr-CH"/>
        </w:rPr>
        <w:t>ʼ</w:t>
      </w:r>
      <w:r w:rsidRPr="00D04F9F">
        <w:rPr>
          <w:lang w:val="fr-CH"/>
        </w:rPr>
        <w:t>un</w:t>
      </w:r>
      <w:proofErr w:type="spellEnd"/>
      <w:r w:rsidRPr="00D04F9F">
        <w:rPr>
          <w:lang w:val="fr-CH"/>
        </w:rPr>
        <w:t xml:space="preserve"> des </w:t>
      </w:r>
      <w:r w:rsidR="00870DEF">
        <w:rPr>
          <w:lang w:val="fr-CH"/>
        </w:rPr>
        <w:t xml:space="preserve">principaux </w:t>
      </w:r>
      <w:r w:rsidRPr="00D04F9F">
        <w:rPr>
          <w:lang w:val="fr-CH"/>
        </w:rPr>
        <w:t xml:space="preserve">instituts mondiaux dans le domaine de </w:t>
      </w:r>
      <w:proofErr w:type="spellStart"/>
      <w:r w:rsidRPr="00D04F9F">
        <w:rPr>
          <w:lang w:val="fr-CH"/>
        </w:rPr>
        <w:t>l</w:t>
      </w:r>
      <w:r w:rsidR="00783897">
        <w:rPr>
          <w:rFonts w:ascii="Arial" w:hAnsi="Arial" w:cs="Arial"/>
          <w:lang w:val="fr-CH"/>
        </w:rPr>
        <w:t>ʼ</w:t>
      </w:r>
      <w:r w:rsidRPr="00D04F9F">
        <w:rPr>
          <w:lang w:val="fr-CH"/>
        </w:rPr>
        <w:t>agriculture</w:t>
      </w:r>
      <w:proofErr w:type="spellEnd"/>
      <w:r w:rsidRPr="00D04F9F">
        <w:rPr>
          <w:lang w:val="fr-CH"/>
        </w:rPr>
        <w:t xml:space="preserve"> biologique. Les points forts du FiBL </w:t>
      </w:r>
      <w:r w:rsidR="001E0C80">
        <w:rPr>
          <w:lang w:val="fr-CH"/>
        </w:rPr>
        <w:t>sont la</w:t>
      </w:r>
      <w:r w:rsidRPr="00D04F9F">
        <w:rPr>
          <w:lang w:val="fr-CH"/>
        </w:rPr>
        <w:t xml:space="preserve"> recherche interdisciplinaire, </w:t>
      </w:r>
      <w:proofErr w:type="spellStart"/>
      <w:r w:rsidR="006F501E">
        <w:rPr>
          <w:lang w:val="fr-CH"/>
        </w:rPr>
        <w:t>l</w:t>
      </w:r>
      <w:r w:rsidR="00783897">
        <w:rPr>
          <w:rFonts w:ascii="Arial" w:hAnsi="Arial" w:cs="Arial"/>
          <w:lang w:val="fr-CH"/>
        </w:rPr>
        <w:t>ʼ</w:t>
      </w:r>
      <w:r w:rsidR="006F501E">
        <w:rPr>
          <w:lang w:val="fr-CH"/>
        </w:rPr>
        <w:t>innovation</w:t>
      </w:r>
      <w:proofErr w:type="spellEnd"/>
      <w:r w:rsidR="006F501E">
        <w:rPr>
          <w:lang w:val="fr-CH"/>
        </w:rPr>
        <w:t xml:space="preserve"> en collaboration</w:t>
      </w:r>
      <w:r w:rsidRPr="00D04F9F">
        <w:rPr>
          <w:lang w:val="fr-CH"/>
        </w:rPr>
        <w:t xml:space="preserve"> avec les </w:t>
      </w:r>
      <w:r w:rsidR="006F501E">
        <w:rPr>
          <w:lang w:val="fr-CH"/>
        </w:rPr>
        <w:t xml:space="preserve">agricultrices et </w:t>
      </w:r>
      <w:r w:rsidRPr="00D04F9F">
        <w:rPr>
          <w:lang w:val="fr-CH"/>
        </w:rPr>
        <w:t xml:space="preserve">agriculteurs et </w:t>
      </w:r>
      <w:r w:rsidR="007801FF">
        <w:rPr>
          <w:lang w:val="fr-CH"/>
        </w:rPr>
        <w:t xml:space="preserve">le secteur </w:t>
      </w:r>
      <w:r w:rsidRPr="00D04F9F">
        <w:rPr>
          <w:lang w:val="fr-CH"/>
        </w:rPr>
        <w:t xml:space="preserve">alimentaire, ainsi que le transfert rapide de connaissances. Le groupe FiBL comprend actuellement </w:t>
      </w:r>
      <w:r w:rsidR="00F14B21">
        <w:rPr>
          <w:lang w:val="fr-CH"/>
        </w:rPr>
        <w:t xml:space="preserve">le </w:t>
      </w:r>
      <w:r w:rsidRPr="00D04F9F">
        <w:rPr>
          <w:lang w:val="fr-CH"/>
        </w:rPr>
        <w:t>FiBL Suisse (fondé en</w:t>
      </w:r>
      <w:r w:rsidR="007801FF">
        <w:rPr>
          <w:lang w:val="fr-CH"/>
        </w:rPr>
        <w:t> </w:t>
      </w:r>
      <w:r w:rsidRPr="00D04F9F">
        <w:rPr>
          <w:lang w:val="fr-CH"/>
        </w:rPr>
        <w:t xml:space="preserve">1973), </w:t>
      </w:r>
      <w:r w:rsidR="00F14B21">
        <w:rPr>
          <w:lang w:val="fr-CH"/>
        </w:rPr>
        <w:t xml:space="preserve">le </w:t>
      </w:r>
      <w:r w:rsidRPr="00D04F9F">
        <w:rPr>
          <w:lang w:val="fr-CH"/>
        </w:rPr>
        <w:t xml:space="preserve">FiBL Allemagne (2001), </w:t>
      </w:r>
      <w:r w:rsidR="00F14B21">
        <w:rPr>
          <w:lang w:val="fr-CH"/>
        </w:rPr>
        <w:t xml:space="preserve">le </w:t>
      </w:r>
      <w:r w:rsidRPr="00D04F9F">
        <w:rPr>
          <w:lang w:val="fr-CH"/>
        </w:rPr>
        <w:t xml:space="preserve">FiBL Autriche (2004), </w:t>
      </w:r>
      <w:proofErr w:type="spellStart"/>
      <w:r w:rsidR="0069372D">
        <w:rPr>
          <w:lang w:val="fr-CH"/>
        </w:rPr>
        <w:t>l</w:t>
      </w:r>
      <w:r w:rsidR="00783897">
        <w:rPr>
          <w:rFonts w:ascii="Arial" w:hAnsi="Arial" w:cs="Arial"/>
          <w:lang w:val="fr-CH"/>
        </w:rPr>
        <w:t>ʼ</w:t>
      </w:r>
      <w:r w:rsidRPr="00D04F9F">
        <w:rPr>
          <w:lang w:val="fr-CH"/>
        </w:rPr>
        <w:t>ÖMKi</w:t>
      </w:r>
      <w:proofErr w:type="spellEnd"/>
      <w:r w:rsidRPr="00D04F9F">
        <w:rPr>
          <w:lang w:val="fr-CH"/>
        </w:rPr>
        <w:t xml:space="preserve"> (Institut hongrois de recherche sur </w:t>
      </w:r>
      <w:proofErr w:type="spellStart"/>
      <w:r w:rsidRPr="00D04F9F">
        <w:rPr>
          <w:lang w:val="fr-CH"/>
        </w:rPr>
        <w:t>l</w:t>
      </w:r>
      <w:r w:rsidR="00783897">
        <w:rPr>
          <w:rFonts w:ascii="Arial" w:hAnsi="Arial" w:cs="Arial"/>
          <w:lang w:val="fr-CH"/>
        </w:rPr>
        <w:t>ʼ</w:t>
      </w:r>
      <w:r w:rsidRPr="00D04F9F">
        <w:rPr>
          <w:lang w:val="fr-CH"/>
        </w:rPr>
        <w:t>agriculture</w:t>
      </w:r>
      <w:proofErr w:type="spellEnd"/>
      <w:r w:rsidRPr="00D04F9F">
        <w:rPr>
          <w:lang w:val="fr-CH"/>
        </w:rPr>
        <w:t xml:space="preserve"> biologique, 2011), </w:t>
      </w:r>
      <w:r w:rsidR="0069372D">
        <w:rPr>
          <w:lang w:val="fr-CH"/>
        </w:rPr>
        <w:t xml:space="preserve">le </w:t>
      </w:r>
      <w:r w:rsidRPr="00D04F9F">
        <w:rPr>
          <w:lang w:val="fr-CH"/>
        </w:rPr>
        <w:t xml:space="preserve">FiBL France (2017) et </w:t>
      </w:r>
      <w:r w:rsidR="0069372D">
        <w:rPr>
          <w:lang w:val="fr-CH"/>
        </w:rPr>
        <w:t xml:space="preserve">le </w:t>
      </w:r>
      <w:r w:rsidRPr="00D04F9F">
        <w:rPr>
          <w:lang w:val="fr-CH"/>
        </w:rPr>
        <w:t>FiBL Europe (2017), qui est soutenu conjointement par les cinq instituts nationaux.</w:t>
      </w:r>
      <w:r w:rsidR="005C7DD2">
        <w:rPr>
          <w:lang w:val="fr-CH"/>
        </w:rPr>
        <w:t xml:space="preserve"> Le</w:t>
      </w:r>
      <w:r w:rsidRPr="00D04F9F">
        <w:rPr>
          <w:lang w:val="fr-CH"/>
        </w:rPr>
        <w:t xml:space="preserve"> FiBL emploie environ 400</w:t>
      </w:r>
      <w:r w:rsidR="00095B86">
        <w:rPr>
          <w:lang w:val="fr-CH"/>
        </w:rPr>
        <w:t> collaboratrices et</w:t>
      </w:r>
      <w:r w:rsidR="000226EF">
        <w:rPr>
          <w:lang w:val="fr-CH"/>
        </w:rPr>
        <w:t xml:space="preserve"> </w:t>
      </w:r>
      <w:r w:rsidRPr="00D04F9F">
        <w:rPr>
          <w:lang w:val="fr-CH"/>
        </w:rPr>
        <w:t xml:space="preserve">collaborateurs </w:t>
      </w:r>
      <w:bookmarkStart w:id="1" w:name="_Hlk158466458"/>
      <w:r w:rsidRPr="00D04F9F">
        <w:rPr>
          <w:lang w:val="fr-CH"/>
        </w:rPr>
        <w:t>sur ses différents sites</w:t>
      </w:r>
      <w:bookmarkEnd w:id="1"/>
      <w:r w:rsidRPr="00D04F9F">
        <w:rPr>
          <w:lang w:val="fr-CH"/>
        </w:rPr>
        <w:t>.</w:t>
      </w:r>
    </w:p>
    <w:p w14:paraId="650D1C21" w14:textId="5EC03FFC" w:rsidR="00466809" w:rsidRPr="0073057A" w:rsidRDefault="00EE17D1" w:rsidP="00C943A7">
      <w:pPr>
        <w:pStyle w:val="FiBLmrannotation"/>
        <w:rPr>
          <w:b/>
          <w:sz w:val="34"/>
          <w:lang w:val="fr-FR"/>
        </w:rPr>
      </w:pPr>
      <w:hyperlink r:id="rId22" w:history="1">
        <w:r w:rsidR="00C943A7" w:rsidRPr="0073057A">
          <w:rPr>
            <w:rStyle w:val="Hyperlink"/>
            <w:u w:val="none"/>
            <w:lang w:val="fr-FR"/>
          </w:rPr>
          <w:t>www.fibl.org</w:t>
        </w:r>
      </w:hyperlink>
      <w:r w:rsidR="00C943A7" w:rsidRPr="0073057A">
        <w:rPr>
          <w:lang w:val="fr-FR"/>
        </w:rPr>
        <w:t xml:space="preserve"> </w:t>
      </w:r>
      <w:r w:rsidR="00466809" w:rsidRPr="0073057A">
        <w:rPr>
          <w:lang w:val="fr-FR"/>
        </w:rPr>
        <w:br w:type="page"/>
      </w:r>
    </w:p>
    <w:p w14:paraId="42FD0038" w14:textId="59014B7B" w:rsidR="00686D1E" w:rsidRPr="00C943A7" w:rsidRDefault="009B738F" w:rsidP="00EB6B1C">
      <w:pPr>
        <w:pStyle w:val="FiBLmrtitle"/>
        <w:rPr>
          <w:lang w:val="fr-FR"/>
        </w:rPr>
      </w:pPr>
      <w:proofErr w:type="spellStart"/>
      <w:r w:rsidRPr="00C943A7">
        <w:rPr>
          <w:lang w:val="fr-FR"/>
        </w:rPr>
        <w:lastRenderedPageBreak/>
        <w:t>L</w:t>
      </w:r>
      <w:r w:rsidR="00783897">
        <w:rPr>
          <w:rFonts w:ascii="Arial" w:hAnsi="Arial" w:cs="Arial"/>
          <w:lang w:val="fr-FR"/>
        </w:rPr>
        <w:t>ʼ</w:t>
      </w:r>
      <w:r w:rsidRPr="00C943A7">
        <w:rPr>
          <w:lang w:val="fr-FR"/>
        </w:rPr>
        <w:t>agriculture</w:t>
      </w:r>
      <w:proofErr w:type="spellEnd"/>
      <w:r w:rsidRPr="00C943A7">
        <w:rPr>
          <w:lang w:val="fr-FR"/>
        </w:rPr>
        <w:t xml:space="preserve"> </w:t>
      </w:r>
      <w:r w:rsidR="005F0F54">
        <w:rPr>
          <w:lang w:val="fr-FR"/>
        </w:rPr>
        <w:t>bio</w:t>
      </w:r>
      <w:r w:rsidR="005F0F54" w:rsidRPr="00C943A7">
        <w:rPr>
          <w:lang w:val="fr-FR"/>
        </w:rPr>
        <w:t xml:space="preserve"> </w:t>
      </w:r>
      <w:r w:rsidRPr="00C943A7">
        <w:rPr>
          <w:lang w:val="fr-FR"/>
        </w:rPr>
        <w:t xml:space="preserve">en </w:t>
      </w:r>
      <w:r w:rsidR="00584129" w:rsidRPr="00C943A7">
        <w:rPr>
          <w:lang w:val="fr-FR"/>
        </w:rPr>
        <w:t>Europ</w:t>
      </w:r>
      <w:r w:rsidRPr="00C943A7">
        <w:rPr>
          <w:lang w:val="fr-FR"/>
        </w:rPr>
        <w:t>e</w:t>
      </w:r>
      <w:r w:rsidR="00584129" w:rsidRPr="00C943A7">
        <w:rPr>
          <w:lang w:val="fr-FR"/>
        </w:rPr>
        <w:t xml:space="preserve"> </w:t>
      </w:r>
      <w:r w:rsidRPr="00C943A7">
        <w:rPr>
          <w:lang w:val="fr-FR"/>
        </w:rPr>
        <w:t xml:space="preserve">et dans </w:t>
      </w:r>
      <w:proofErr w:type="spellStart"/>
      <w:r w:rsidRPr="00C943A7">
        <w:rPr>
          <w:lang w:val="fr-FR"/>
        </w:rPr>
        <w:t>l</w:t>
      </w:r>
      <w:r w:rsidR="00783897">
        <w:rPr>
          <w:rFonts w:ascii="Arial" w:hAnsi="Arial" w:cs="Arial"/>
          <w:lang w:val="fr-FR"/>
        </w:rPr>
        <w:t>ʼ</w:t>
      </w:r>
      <w:r w:rsidR="00584129" w:rsidRPr="00C943A7">
        <w:rPr>
          <w:lang w:val="fr-FR"/>
        </w:rPr>
        <w:t>Union</w:t>
      </w:r>
      <w:proofErr w:type="spellEnd"/>
      <w:r w:rsidRPr="00C943A7">
        <w:rPr>
          <w:lang w:val="fr-FR"/>
        </w:rPr>
        <w:t xml:space="preserve"> </w:t>
      </w:r>
      <w:proofErr w:type="gramStart"/>
      <w:r w:rsidRPr="00C943A7">
        <w:rPr>
          <w:lang w:val="fr-FR"/>
        </w:rPr>
        <w:t>européenne</w:t>
      </w:r>
      <w:r w:rsidR="00584129" w:rsidRPr="00C943A7">
        <w:rPr>
          <w:lang w:val="fr-FR"/>
        </w:rPr>
        <w:t>:</w:t>
      </w:r>
      <w:proofErr w:type="gramEnd"/>
      <w:r w:rsidR="00584129" w:rsidRPr="00C943A7">
        <w:rPr>
          <w:lang w:val="fr-FR"/>
        </w:rPr>
        <w:t xml:space="preserve"> </w:t>
      </w:r>
      <w:r w:rsidR="00797B79" w:rsidRPr="00C943A7">
        <w:rPr>
          <w:lang w:val="fr-FR"/>
        </w:rPr>
        <w:t>chiffres clés</w:t>
      </w:r>
      <w:r w:rsidR="005F0F54">
        <w:rPr>
          <w:lang w:val="fr-FR"/>
        </w:rPr>
        <w:t> </w:t>
      </w:r>
      <w:r w:rsidR="00C943A7" w:rsidRPr="00C943A7">
        <w:rPr>
          <w:lang w:val="fr-FR"/>
        </w:rPr>
        <w:t>2022</w:t>
      </w:r>
    </w:p>
    <w:tbl>
      <w:tblPr>
        <w:tblStyle w:val="woatable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984"/>
        <w:gridCol w:w="2174"/>
        <w:gridCol w:w="2174"/>
        <w:gridCol w:w="2172"/>
      </w:tblGrid>
      <w:tr w:rsidR="00472118" w:rsidRPr="002372C2" w14:paraId="08ABA3A2" w14:textId="77777777" w:rsidTr="0052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Align w:val="center"/>
          </w:tcPr>
          <w:p w14:paraId="7EFE4333" w14:textId="6B9DB9DC" w:rsidR="00584129" w:rsidRPr="00977110" w:rsidRDefault="00584129" w:rsidP="00977110">
            <w:pPr>
              <w:rPr>
                <w:rFonts w:ascii="Gill Sans MT" w:hAnsi="Gill Sans MT" w:hint="default"/>
                <w:b/>
                <w:bCs w:val="0"/>
                <w:sz w:val="16"/>
                <w:szCs w:val="16"/>
                <w:lang w:val="fr-CH"/>
              </w:rPr>
            </w:pPr>
            <w:r w:rsidRPr="00977110">
              <w:rPr>
                <w:rFonts w:ascii="Gill Sans MT" w:hAnsi="Gill Sans MT"/>
                <w:b/>
                <w:bCs w:val="0"/>
                <w:sz w:val="16"/>
                <w:szCs w:val="16"/>
                <w:lang w:val="fr-CH"/>
              </w:rPr>
              <w:t>Indi</w:t>
            </w:r>
            <w:r w:rsidR="00797B79" w:rsidRPr="00977110">
              <w:rPr>
                <w:rFonts w:ascii="Gill Sans MT" w:hAnsi="Gill Sans MT"/>
                <w:b/>
                <w:bCs w:val="0"/>
                <w:sz w:val="16"/>
                <w:szCs w:val="16"/>
                <w:lang w:val="fr-CH"/>
              </w:rPr>
              <w:t>cateu</w:t>
            </w:r>
            <w:r w:rsidRPr="00977110">
              <w:rPr>
                <w:rFonts w:ascii="Gill Sans MT" w:hAnsi="Gill Sans MT"/>
                <w:b/>
                <w:bCs w:val="0"/>
                <w:sz w:val="16"/>
                <w:szCs w:val="16"/>
                <w:lang w:val="fr-CH"/>
              </w:rPr>
              <w:t>r</w:t>
            </w:r>
          </w:p>
        </w:tc>
        <w:tc>
          <w:tcPr>
            <w:tcW w:w="1278" w:type="pct"/>
            <w:vAlign w:val="center"/>
          </w:tcPr>
          <w:p w14:paraId="7B64FA14" w14:textId="40D58647" w:rsidR="00584129" w:rsidRPr="00977110" w:rsidRDefault="00584129" w:rsidP="009771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hint="default"/>
                <w:b/>
                <w:bCs w:val="0"/>
                <w:sz w:val="16"/>
                <w:szCs w:val="16"/>
                <w:lang w:val="fr-CH"/>
              </w:rPr>
            </w:pPr>
            <w:r w:rsidRPr="00977110">
              <w:rPr>
                <w:rFonts w:ascii="Gill Sans MT" w:hAnsi="Gill Sans MT"/>
                <w:b/>
                <w:bCs w:val="0"/>
                <w:sz w:val="16"/>
                <w:szCs w:val="16"/>
                <w:lang w:val="fr-CH"/>
              </w:rPr>
              <w:t>Europ</w:t>
            </w:r>
            <w:r w:rsidR="00797B79" w:rsidRPr="00977110">
              <w:rPr>
                <w:rFonts w:ascii="Gill Sans MT" w:hAnsi="Gill Sans MT"/>
                <w:b/>
                <w:bCs w:val="0"/>
                <w:sz w:val="16"/>
                <w:szCs w:val="16"/>
                <w:lang w:val="fr-CH"/>
              </w:rPr>
              <w:t>e</w:t>
            </w:r>
          </w:p>
        </w:tc>
        <w:tc>
          <w:tcPr>
            <w:tcW w:w="1278" w:type="pct"/>
            <w:vAlign w:val="center"/>
          </w:tcPr>
          <w:p w14:paraId="6BDAC986" w14:textId="7ED7798D" w:rsidR="00584129" w:rsidRPr="00977110" w:rsidRDefault="00797B79" w:rsidP="009771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hint="default"/>
                <w:b/>
                <w:bCs w:val="0"/>
                <w:sz w:val="16"/>
                <w:szCs w:val="16"/>
                <w:lang w:val="fr-CH"/>
              </w:rPr>
            </w:pPr>
            <w:r w:rsidRPr="00977110">
              <w:rPr>
                <w:rFonts w:ascii="Gill Sans MT" w:hAnsi="Gill Sans MT"/>
                <w:b/>
                <w:bCs w:val="0"/>
                <w:sz w:val="16"/>
                <w:szCs w:val="16"/>
                <w:lang w:val="fr-CH"/>
              </w:rPr>
              <w:t>Union européenne</w:t>
            </w:r>
          </w:p>
        </w:tc>
        <w:tc>
          <w:tcPr>
            <w:tcW w:w="1277" w:type="pct"/>
            <w:vAlign w:val="center"/>
          </w:tcPr>
          <w:p w14:paraId="4372080D" w14:textId="6BD7606A" w:rsidR="00584129" w:rsidRPr="00977110" w:rsidRDefault="00797B79" w:rsidP="009771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hint="default"/>
                <w:b/>
                <w:bCs w:val="0"/>
                <w:sz w:val="16"/>
                <w:szCs w:val="16"/>
                <w:lang w:val="fr-CH"/>
              </w:rPr>
            </w:pPr>
            <w:r w:rsidRPr="00977110">
              <w:rPr>
                <w:rFonts w:ascii="Gill Sans MT" w:hAnsi="Gill Sans MT"/>
                <w:b/>
                <w:bCs w:val="0"/>
                <w:sz w:val="16"/>
                <w:szCs w:val="16"/>
                <w:lang w:val="fr-CH"/>
              </w:rPr>
              <w:t>Les 3 pays en têt</w:t>
            </w:r>
            <w:r w:rsidR="004660E3" w:rsidRPr="00977110">
              <w:rPr>
                <w:rFonts w:ascii="Gill Sans MT" w:hAnsi="Gill Sans MT"/>
                <w:b/>
                <w:bCs w:val="0"/>
                <w:sz w:val="16"/>
                <w:szCs w:val="16"/>
                <w:lang w:val="fr-CH"/>
              </w:rPr>
              <w:t>e d</w:t>
            </w:r>
            <w:r w:rsidR="007E2958">
              <w:rPr>
                <w:rFonts w:ascii="Gill Sans MT" w:hAnsi="Gill Sans MT" w:hint="default"/>
                <w:b/>
                <w:bCs w:val="0"/>
                <w:sz w:val="16"/>
                <w:szCs w:val="16"/>
                <w:lang w:val="fr-CH"/>
              </w:rPr>
              <w:t>u</w:t>
            </w:r>
            <w:r w:rsidR="004660E3" w:rsidRPr="00977110">
              <w:rPr>
                <w:rFonts w:ascii="Gill Sans MT" w:hAnsi="Gill Sans MT"/>
                <w:b/>
                <w:bCs w:val="0"/>
                <w:sz w:val="16"/>
                <w:szCs w:val="16"/>
                <w:lang w:val="fr-CH"/>
              </w:rPr>
              <w:t xml:space="preserve"> classement</w:t>
            </w:r>
          </w:p>
        </w:tc>
      </w:tr>
      <w:tr w:rsidR="00472118" w:rsidRPr="00246EA7" w14:paraId="5C84CD76" w14:textId="77777777" w:rsidTr="0052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3BB12736" w14:textId="73AF1031" w:rsidR="00584129" w:rsidRPr="00977110" w:rsidRDefault="00713D44" w:rsidP="00F1030B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t>Surface agricole biologique en hectares</w:t>
            </w:r>
          </w:p>
        </w:tc>
        <w:tc>
          <w:tcPr>
            <w:tcW w:w="1278" w:type="pct"/>
          </w:tcPr>
          <w:p w14:paraId="163A26A6" w14:textId="4000A79A" w:rsidR="00584129" w:rsidRPr="006B2B03" w:rsidRDefault="00D039AA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18,5</w:t>
            </w:r>
            <w:r w:rsidR="00584129" w:rsidRPr="006B2B03">
              <w:rPr>
                <w:sz w:val="16"/>
                <w:szCs w:val="16"/>
                <w:lang w:val="fr-CH"/>
              </w:rPr>
              <w:t xml:space="preserve"> </w:t>
            </w:r>
            <w:r w:rsidR="00797B79" w:rsidRPr="006B2B03">
              <w:rPr>
                <w:sz w:val="16"/>
                <w:szCs w:val="16"/>
                <w:lang w:val="fr-CH"/>
              </w:rPr>
              <w:t>millions</w:t>
            </w:r>
            <w:r w:rsidR="00584129" w:rsidRPr="006B2B03">
              <w:rPr>
                <w:sz w:val="16"/>
                <w:szCs w:val="16"/>
                <w:lang w:val="fr-CH"/>
              </w:rPr>
              <w:t xml:space="preserve"> ha</w:t>
            </w:r>
          </w:p>
        </w:tc>
        <w:tc>
          <w:tcPr>
            <w:tcW w:w="1278" w:type="pct"/>
          </w:tcPr>
          <w:p w14:paraId="4FE97496" w14:textId="319B8732" w:rsidR="00584129" w:rsidRPr="006B2B03" w:rsidRDefault="00584129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1</w:t>
            </w:r>
            <w:r w:rsidR="00D039AA" w:rsidRPr="006B2B03">
              <w:rPr>
                <w:sz w:val="16"/>
                <w:szCs w:val="16"/>
                <w:lang w:val="fr-CH"/>
              </w:rPr>
              <w:t>6</w:t>
            </w:r>
            <w:r w:rsidRPr="006B2B03">
              <w:rPr>
                <w:sz w:val="16"/>
                <w:szCs w:val="16"/>
                <w:lang w:val="fr-CH"/>
              </w:rPr>
              <w:t>,</w:t>
            </w:r>
            <w:r w:rsidR="00D039AA" w:rsidRPr="006B2B03">
              <w:rPr>
                <w:sz w:val="16"/>
                <w:szCs w:val="16"/>
                <w:lang w:val="fr-CH"/>
              </w:rPr>
              <w:t>9</w:t>
            </w:r>
            <w:r w:rsidRPr="006B2B03">
              <w:rPr>
                <w:sz w:val="16"/>
                <w:szCs w:val="16"/>
                <w:lang w:val="fr-CH"/>
              </w:rPr>
              <w:t xml:space="preserve"> </w:t>
            </w:r>
            <w:r w:rsidR="00797B79" w:rsidRPr="006B2B03">
              <w:rPr>
                <w:sz w:val="16"/>
                <w:szCs w:val="16"/>
                <w:lang w:val="fr-CH"/>
              </w:rPr>
              <w:t>millions</w:t>
            </w:r>
            <w:r w:rsidRPr="006B2B03">
              <w:rPr>
                <w:sz w:val="16"/>
                <w:szCs w:val="16"/>
                <w:lang w:val="fr-CH"/>
              </w:rPr>
              <w:t xml:space="preserve"> ha</w:t>
            </w:r>
          </w:p>
        </w:tc>
        <w:tc>
          <w:tcPr>
            <w:tcW w:w="1277" w:type="pct"/>
          </w:tcPr>
          <w:p w14:paraId="4A2A86DE" w14:textId="642F73D3" w:rsidR="00584129" w:rsidRPr="00977110" w:rsidRDefault="00D04F9F" w:rsidP="0006500E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 xml:space="preserve">France </w:t>
            </w:r>
            <w:r w:rsidR="00584129" w:rsidRPr="00977110">
              <w:rPr>
                <w:sz w:val="16"/>
                <w:szCs w:val="16"/>
                <w:lang w:val="fr-CH"/>
              </w:rPr>
              <w:t>(</w:t>
            </w:r>
            <w:r w:rsidR="00125125" w:rsidRPr="00977110">
              <w:rPr>
                <w:sz w:val="16"/>
                <w:szCs w:val="16"/>
                <w:lang w:val="fr-CH"/>
              </w:rPr>
              <w:t>2</w:t>
            </w:r>
            <w:r w:rsidR="0006500E" w:rsidRPr="00977110">
              <w:rPr>
                <w:sz w:val="16"/>
                <w:szCs w:val="16"/>
                <w:lang w:val="fr-CH"/>
              </w:rPr>
              <w:t>,</w:t>
            </w:r>
            <w:r w:rsidRPr="00977110">
              <w:rPr>
                <w:sz w:val="16"/>
                <w:szCs w:val="16"/>
                <w:lang w:val="fr-CH"/>
              </w:rPr>
              <w:t>9</w:t>
            </w:r>
            <w:r w:rsidR="00C67606">
              <w:rPr>
                <w:sz w:val="16"/>
                <w:szCs w:val="16"/>
                <w:lang w:val="fr-CH"/>
              </w:rPr>
              <w:t> </w:t>
            </w:r>
            <w:r w:rsidR="00EB5787" w:rsidRPr="00977110">
              <w:rPr>
                <w:sz w:val="16"/>
                <w:szCs w:val="16"/>
                <w:lang w:val="fr-CH"/>
              </w:rPr>
              <w:t>m</w:t>
            </w:r>
            <w:r w:rsidR="0006500E" w:rsidRPr="00977110">
              <w:rPr>
                <w:sz w:val="16"/>
                <w:szCs w:val="16"/>
                <w:lang w:val="fr-CH"/>
              </w:rPr>
              <w:t>illion</w:t>
            </w:r>
            <w:r w:rsidR="00EB5787" w:rsidRPr="00977110">
              <w:rPr>
                <w:sz w:val="16"/>
                <w:szCs w:val="16"/>
                <w:lang w:val="fr-CH"/>
              </w:rPr>
              <w:t>s</w:t>
            </w:r>
            <w:r w:rsidR="0006500E" w:rsidRPr="00977110">
              <w:rPr>
                <w:sz w:val="16"/>
                <w:szCs w:val="16"/>
                <w:lang w:val="fr-CH"/>
              </w:rPr>
              <w:t xml:space="preserve"> ha)</w:t>
            </w:r>
            <w:r w:rsidR="0006500E" w:rsidRPr="00977110">
              <w:rPr>
                <w:sz w:val="16"/>
                <w:szCs w:val="16"/>
                <w:lang w:val="fr-CH"/>
              </w:rPr>
              <w:br/>
            </w:r>
            <w:r w:rsidRPr="00977110">
              <w:rPr>
                <w:sz w:val="16"/>
                <w:szCs w:val="16"/>
                <w:lang w:val="fr-CH"/>
              </w:rPr>
              <w:t xml:space="preserve">Espagne </w:t>
            </w:r>
            <w:r w:rsidR="0006500E" w:rsidRPr="00977110">
              <w:rPr>
                <w:sz w:val="16"/>
                <w:szCs w:val="16"/>
                <w:lang w:val="fr-CH"/>
              </w:rPr>
              <w:t>(2</w:t>
            </w:r>
            <w:r w:rsidRPr="00977110">
              <w:rPr>
                <w:sz w:val="16"/>
                <w:szCs w:val="16"/>
                <w:lang w:val="fr-CH"/>
              </w:rPr>
              <w:t>,7</w:t>
            </w:r>
            <w:r w:rsidR="00C67606">
              <w:rPr>
                <w:sz w:val="16"/>
                <w:szCs w:val="16"/>
                <w:lang w:val="fr-CH"/>
              </w:rPr>
              <w:t> </w:t>
            </w:r>
            <w:r w:rsidR="00EB5787" w:rsidRPr="00977110">
              <w:rPr>
                <w:sz w:val="16"/>
                <w:szCs w:val="16"/>
                <w:lang w:val="fr-CH"/>
              </w:rPr>
              <w:t>m</w:t>
            </w:r>
            <w:r w:rsidR="0006500E" w:rsidRPr="00977110">
              <w:rPr>
                <w:sz w:val="16"/>
                <w:szCs w:val="16"/>
                <w:lang w:val="fr-CH"/>
              </w:rPr>
              <w:t>illion</w:t>
            </w:r>
            <w:r w:rsidR="00EB5787" w:rsidRPr="00977110">
              <w:rPr>
                <w:sz w:val="16"/>
                <w:szCs w:val="16"/>
                <w:lang w:val="fr-CH"/>
              </w:rPr>
              <w:t>s</w:t>
            </w:r>
            <w:r w:rsidR="0006500E" w:rsidRPr="00977110">
              <w:rPr>
                <w:sz w:val="16"/>
                <w:szCs w:val="16"/>
                <w:lang w:val="fr-CH"/>
              </w:rPr>
              <w:t xml:space="preserve"> ha)</w:t>
            </w:r>
            <w:r w:rsidR="0006500E" w:rsidRPr="00977110">
              <w:rPr>
                <w:sz w:val="16"/>
                <w:szCs w:val="16"/>
                <w:lang w:val="fr-CH"/>
              </w:rPr>
              <w:br/>
              <w:t>Italie (2</w:t>
            </w:r>
            <w:r w:rsidRPr="00977110">
              <w:rPr>
                <w:sz w:val="16"/>
                <w:szCs w:val="16"/>
                <w:lang w:val="fr-CH"/>
              </w:rPr>
              <w:t>,3</w:t>
            </w:r>
            <w:r w:rsidR="00C67606">
              <w:rPr>
                <w:sz w:val="16"/>
                <w:szCs w:val="16"/>
                <w:lang w:val="fr-CH"/>
              </w:rPr>
              <w:t> </w:t>
            </w:r>
            <w:r w:rsidR="00EB5787" w:rsidRPr="00977110">
              <w:rPr>
                <w:sz w:val="16"/>
                <w:szCs w:val="16"/>
                <w:lang w:val="fr-CH"/>
              </w:rPr>
              <w:t>m</w:t>
            </w:r>
            <w:r w:rsidR="00584129" w:rsidRPr="00977110">
              <w:rPr>
                <w:sz w:val="16"/>
                <w:szCs w:val="16"/>
                <w:lang w:val="fr-CH"/>
              </w:rPr>
              <w:t>illion</w:t>
            </w:r>
            <w:r w:rsidR="00EB5787" w:rsidRPr="00977110">
              <w:rPr>
                <w:sz w:val="16"/>
                <w:szCs w:val="16"/>
                <w:lang w:val="fr-CH"/>
              </w:rPr>
              <w:t>s</w:t>
            </w:r>
            <w:r w:rsidR="00584129" w:rsidRPr="00977110">
              <w:rPr>
                <w:sz w:val="16"/>
                <w:szCs w:val="16"/>
                <w:lang w:val="fr-CH"/>
              </w:rPr>
              <w:t xml:space="preserve"> ha)</w:t>
            </w:r>
          </w:p>
        </w:tc>
      </w:tr>
      <w:tr w:rsidR="00472118" w:rsidRPr="006B2B03" w14:paraId="3A8DB2AF" w14:textId="77777777" w:rsidTr="0052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6DCB0766" w14:textId="3F265EDA" w:rsidR="00584129" w:rsidRPr="00977110" w:rsidRDefault="00713D44" w:rsidP="00F61C44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t>Part de la surface agricole biologique</w:t>
            </w:r>
          </w:p>
        </w:tc>
        <w:tc>
          <w:tcPr>
            <w:tcW w:w="1278" w:type="pct"/>
          </w:tcPr>
          <w:p w14:paraId="20E7C499" w14:textId="0B7B450A" w:rsidR="00584129" w:rsidRPr="006B2B03" w:rsidRDefault="00D039AA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3,7</w:t>
            </w:r>
            <w:r w:rsidR="00584129" w:rsidRPr="006B2B03">
              <w:rPr>
                <w:sz w:val="16"/>
                <w:szCs w:val="16"/>
                <w:lang w:val="fr-CH"/>
              </w:rPr>
              <w:t>%</w:t>
            </w:r>
          </w:p>
        </w:tc>
        <w:tc>
          <w:tcPr>
            <w:tcW w:w="1278" w:type="pct"/>
          </w:tcPr>
          <w:p w14:paraId="766DF4D3" w14:textId="13144CE1" w:rsidR="00584129" w:rsidRPr="006B2B03" w:rsidRDefault="00D039AA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10,4</w:t>
            </w:r>
            <w:r w:rsidR="00584129" w:rsidRPr="006B2B03">
              <w:rPr>
                <w:sz w:val="16"/>
                <w:szCs w:val="16"/>
                <w:lang w:val="fr-CH"/>
              </w:rPr>
              <w:t>%</w:t>
            </w:r>
          </w:p>
        </w:tc>
        <w:tc>
          <w:tcPr>
            <w:tcW w:w="1277" w:type="pct"/>
          </w:tcPr>
          <w:p w14:paraId="73563B49" w14:textId="0A191812" w:rsidR="00584129" w:rsidRPr="00977110" w:rsidRDefault="00584129" w:rsidP="00F61C4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>Liechtenstein (</w:t>
            </w:r>
            <w:r w:rsidR="00D04F9F" w:rsidRPr="00977110">
              <w:rPr>
                <w:sz w:val="16"/>
                <w:szCs w:val="16"/>
                <w:lang w:val="fr-CH"/>
              </w:rPr>
              <w:t>43,0</w:t>
            </w:r>
            <w:r w:rsidR="00125125" w:rsidRPr="00977110">
              <w:rPr>
                <w:sz w:val="16"/>
                <w:szCs w:val="16"/>
                <w:lang w:val="fr-CH"/>
              </w:rPr>
              <w:t>%)</w:t>
            </w:r>
            <w:r w:rsidR="00125125" w:rsidRPr="00977110">
              <w:rPr>
                <w:sz w:val="16"/>
                <w:szCs w:val="16"/>
                <w:lang w:val="fr-CH"/>
              </w:rPr>
              <w:br/>
            </w:r>
            <w:r w:rsidR="00EB5787" w:rsidRPr="00977110">
              <w:rPr>
                <w:sz w:val="16"/>
                <w:szCs w:val="16"/>
                <w:lang w:val="fr-CH"/>
              </w:rPr>
              <w:t>Autriche</w:t>
            </w:r>
            <w:r w:rsidR="00125125" w:rsidRPr="00977110">
              <w:rPr>
                <w:sz w:val="16"/>
                <w:szCs w:val="16"/>
                <w:lang w:val="fr-CH"/>
              </w:rPr>
              <w:t xml:space="preserve"> (2</w:t>
            </w:r>
            <w:r w:rsidR="00D04F9F" w:rsidRPr="00977110">
              <w:rPr>
                <w:sz w:val="16"/>
                <w:szCs w:val="16"/>
                <w:lang w:val="fr-CH"/>
              </w:rPr>
              <w:t>7,5</w:t>
            </w:r>
            <w:r w:rsidRPr="00977110">
              <w:rPr>
                <w:sz w:val="16"/>
                <w:szCs w:val="16"/>
                <w:lang w:val="fr-CH"/>
              </w:rPr>
              <w:t>%)</w:t>
            </w:r>
          </w:p>
          <w:p w14:paraId="4E2D4A71" w14:textId="7FBD17DE" w:rsidR="00584129" w:rsidRPr="00977110" w:rsidRDefault="002142F8" w:rsidP="00404EF3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>Est</w:t>
            </w:r>
            <w:r w:rsidR="00EB5787" w:rsidRPr="00977110">
              <w:rPr>
                <w:sz w:val="16"/>
                <w:szCs w:val="16"/>
                <w:lang w:val="fr-CH"/>
              </w:rPr>
              <w:t>onie</w:t>
            </w:r>
            <w:r w:rsidR="00404EF3" w:rsidRPr="00977110">
              <w:rPr>
                <w:sz w:val="16"/>
                <w:szCs w:val="16"/>
                <w:lang w:val="fr-CH"/>
              </w:rPr>
              <w:t xml:space="preserve"> (2</w:t>
            </w:r>
            <w:r w:rsidR="00533156" w:rsidRPr="00977110">
              <w:rPr>
                <w:sz w:val="16"/>
                <w:szCs w:val="16"/>
                <w:lang w:val="fr-CH"/>
              </w:rPr>
              <w:t>3,4</w:t>
            </w:r>
            <w:r w:rsidR="00584129" w:rsidRPr="00977110">
              <w:rPr>
                <w:sz w:val="16"/>
                <w:szCs w:val="16"/>
                <w:lang w:val="fr-CH"/>
              </w:rPr>
              <w:t>%)</w:t>
            </w:r>
          </w:p>
        </w:tc>
      </w:tr>
      <w:tr w:rsidR="00472118" w:rsidRPr="002372C2" w14:paraId="1085C85B" w14:textId="77777777" w:rsidTr="0052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690CB10C" w14:textId="6C0556F0" w:rsidR="00584129" w:rsidRPr="00977110" w:rsidRDefault="002F0D8C" w:rsidP="00B221D3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t>Augmentation de la surface agricole bio</w:t>
            </w:r>
            <w:r w:rsidR="00713D44" w:rsidRPr="00977110">
              <w:rPr>
                <w:bCs w:val="0"/>
                <w:sz w:val="16"/>
                <w:szCs w:val="16"/>
                <w:lang w:val="fr-CH"/>
              </w:rPr>
              <w:t xml:space="preserve">logique </w:t>
            </w:r>
            <w:r w:rsidRPr="00977110">
              <w:rPr>
                <w:bCs w:val="0"/>
                <w:sz w:val="16"/>
                <w:szCs w:val="16"/>
                <w:lang w:val="fr-CH"/>
              </w:rPr>
              <w:t>de</w:t>
            </w:r>
            <w:r w:rsidR="00713D44" w:rsidRPr="00977110">
              <w:rPr>
                <w:bCs w:val="0"/>
                <w:sz w:val="16"/>
                <w:szCs w:val="16"/>
                <w:lang w:val="fr-CH"/>
              </w:rPr>
              <w:t xml:space="preserve"> </w:t>
            </w:r>
            <w:r w:rsidR="00D039AA" w:rsidRPr="00977110">
              <w:rPr>
                <w:bCs w:val="0"/>
                <w:sz w:val="16"/>
                <w:szCs w:val="16"/>
                <w:lang w:val="fr-CH"/>
              </w:rPr>
              <w:t>2021</w:t>
            </w:r>
            <w:r w:rsidRPr="00977110">
              <w:rPr>
                <w:bCs w:val="0"/>
                <w:sz w:val="16"/>
                <w:szCs w:val="16"/>
                <w:lang w:val="fr-CH"/>
              </w:rPr>
              <w:t xml:space="preserve"> à</w:t>
            </w:r>
            <w:r w:rsidR="00713D44" w:rsidRPr="00977110">
              <w:rPr>
                <w:bCs w:val="0"/>
                <w:sz w:val="16"/>
                <w:szCs w:val="16"/>
                <w:lang w:val="fr-CH"/>
              </w:rPr>
              <w:t> </w:t>
            </w:r>
            <w:r w:rsidR="00D039AA" w:rsidRPr="00977110">
              <w:rPr>
                <w:bCs w:val="0"/>
                <w:sz w:val="16"/>
                <w:szCs w:val="16"/>
                <w:lang w:val="fr-CH"/>
              </w:rPr>
              <w:t>2022</w:t>
            </w:r>
            <w:r w:rsidR="00B8078A" w:rsidRPr="00977110">
              <w:rPr>
                <w:bCs w:val="0"/>
                <w:sz w:val="16"/>
                <w:szCs w:val="16"/>
                <w:lang w:val="fr-CH"/>
              </w:rPr>
              <w:t xml:space="preserve"> </w:t>
            </w:r>
            <w:r w:rsidR="00713D44" w:rsidRPr="00977110">
              <w:rPr>
                <w:bCs w:val="0"/>
                <w:sz w:val="16"/>
                <w:szCs w:val="16"/>
                <w:lang w:val="fr-CH"/>
              </w:rPr>
              <w:t>en hectares</w:t>
            </w:r>
          </w:p>
        </w:tc>
        <w:tc>
          <w:tcPr>
            <w:tcW w:w="1278" w:type="pct"/>
          </w:tcPr>
          <w:p w14:paraId="26F11285" w14:textId="14499BBC" w:rsidR="00584129" w:rsidRPr="006B2B03" w:rsidRDefault="00D039AA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0,19</w:t>
            </w:r>
            <w:r w:rsidR="00AD1944">
              <w:rPr>
                <w:sz w:val="16"/>
                <w:szCs w:val="16"/>
                <w:lang w:val="fr-CH"/>
              </w:rPr>
              <w:t> </w:t>
            </w:r>
            <w:r w:rsidR="00797B79" w:rsidRPr="006B2B03">
              <w:rPr>
                <w:sz w:val="16"/>
                <w:szCs w:val="16"/>
                <w:lang w:val="fr-CH"/>
              </w:rPr>
              <w:t>million</w:t>
            </w:r>
            <w:r w:rsidR="00584129" w:rsidRPr="006B2B03">
              <w:rPr>
                <w:sz w:val="16"/>
                <w:szCs w:val="16"/>
                <w:lang w:val="fr-CH"/>
              </w:rPr>
              <w:t xml:space="preserve"> ha</w:t>
            </w:r>
          </w:p>
        </w:tc>
        <w:tc>
          <w:tcPr>
            <w:tcW w:w="1278" w:type="pct"/>
          </w:tcPr>
          <w:p w14:paraId="09604725" w14:textId="732C410C" w:rsidR="00584129" w:rsidRPr="006B2B03" w:rsidRDefault="00D039AA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0</w:t>
            </w:r>
            <w:r w:rsidR="00AD1944">
              <w:rPr>
                <w:sz w:val="16"/>
                <w:szCs w:val="16"/>
                <w:lang w:val="fr-CH"/>
              </w:rPr>
              <w:t>,</w:t>
            </w:r>
            <w:r w:rsidRPr="006B2B03">
              <w:rPr>
                <w:sz w:val="16"/>
                <w:szCs w:val="16"/>
                <w:lang w:val="fr-CH"/>
              </w:rPr>
              <w:t>83</w:t>
            </w:r>
            <w:r w:rsidR="00AD1944">
              <w:rPr>
                <w:sz w:val="16"/>
                <w:szCs w:val="16"/>
                <w:lang w:val="fr-CH"/>
              </w:rPr>
              <w:t> </w:t>
            </w:r>
            <w:r w:rsidR="00797B79" w:rsidRPr="006B2B03">
              <w:rPr>
                <w:sz w:val="16"/>
                <w:szCs w:val="16"/>
                <w:lang w:val="fr-CH"/>
              </w:rPr>
              <w:t>million</w:t>
            </w:r>
            <w:r w:rsidR="00584129" w:rsidRPr="006B2B03">
              <w:rPr>
                <w:sz w:val="16"/>
                <w:szCs w:val="16"/>
                <w:lang w:val="fr-CH"/>
              </w:rPr>
              <w:t xml:space="preserve"> ha</w:t>
            </w:r>
          </w:p>
        </w:tc>
        <w:tc>
          <w:tcPr>
            <w:tcW w:w="1277" w:type="pct"/>
          </w:tcPr>
          <w:p w14:paraId="4D960D37" w14:textId="291F89D8" w:rsidR="00584129" w:rsidRPr="00977110" w:rsidRDefault="006D535E" w:rsidP="0006500E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proofErr w:type="spellStart"/>
            <w:r w:rsidRPr="00977110">
              <w:rPr>
                <w:sz w:val="16"/>
                <w:szCs w:val="16"/>
                <w:lang w:val="it-IT"/>
              </w:rPr>
              <w:t>Grèce</w:t>
            </w:r>
            <w:proofErr w:type="spellEnd"/>
            <w:r w:rsidRPr="00977110">
              <w:rPr>
                <w:sz w:val="16"/>
                <w:szCs w:val="16"/>
                <w:lang w:val="it-IT"/>
              </w:rPr>
              <w:t xml:space="preserve"> </w:t>
            </w:r>
            <w:r w:rsidR="0006500E" w:rsidRPr="00977110">
              <w:rPr>
                <w:sz w:val="16"/>
                <w:szCs w:val="16"/>
                <w:lang w:val="it-IT"/>
              </w:rPr>
              <w:t>(+</w:t>
            </w:r>
            <w:r w:rsidR="007F6593" w:rsidRPr="00977110">
              <w:rPr>
                <w:sz w:val="16"/>
                <w:szCs w:val="16"/>
                <w:lang w:val="it-IT"/>
              </w:rPr>
              <w:t>0,39</w:t>
            </w:r>
            <w:r w:rsidR="00AD1944">
              <w:rPr>
                <w:sz w:val="16"/>
                <w:szCs w:val="16"/>
                <w:lang w:val="it-IT"/>
              </w:rPr>
              <w:t> </w:t>
            </w:r>
            <w:proofErr w:type="spellStart"/>
            <w:r w:rsidR="007F6593" w:rsidRPr="00977110">
              <w:rPr>
                <w:sz w:val="16"/>
                <w:szCs w:val="16"/>
                <w:lang w:val="it-IT"/>
              </w:rPr>
              <w:t>million</w:t>
            </w:r>
            <w:proofErr w:type="spellEnd"/>
            <w:r w:rsidR="0006500E" w:rsidRPr="00977110">
              <w:rPr>
                <w:sz w:val="16"/>
                <w:szCs w:val="16"/>
                <w:lang w:val="it-IT"/>
              </w:rPr>
              <w:t xml:space="preserve"> ha)</w:t>
            </w:r>
            <w:r w:rsidR="0006500E" w:rsidRPr="00977110">
              <w:rPr>
                <w:sz w:val="16"/>
                <w:szCs w:val="16"/>
                <w:lang w:val="it-IT"/>
              </w:rPr>
              <w:br/>
            </w:r>
            <w:r w:rsidR="007F6593" w:rsidRPr="00947D86">
              <w:rPr>
                <w:sz w:val="16"/>
                <w:szCs w:val="16"/>
                <w:lang w:val="it-CH"/>
              </w:rPr>
              <w:t xml:space="preserve">Italie </w:t>
            </w:r>
            <w:r w:rsidR="0006500E" w:rsidRPr="00977110">
              <w:rPr>
                <w:sz w:val="16"/>
                <w:szCs w:val="16"/>
                <w:lang w:val="it-IT"/>
              </w:rPr>
              <w:t>(+</w:t>
            </w:r>
            <w:r w:rsidR="007F6593" w:rsidRPr="00977110">
              <w:rPr>
                <w:sz w:val="16"/>
                <w:szCs w:val="16"/>
                <w:lang w:val="it-IT"/>
              </w:rPr>
              <w:t>0,16</w:t>
            </w:r>
            <w:r w:rsidR="0040579E">
              <w:rPr>
                <w:sz w:val="16"/>
                <w:szCs w:val="16"/>
                <w:lang w:val="it-IT"/>
              </w:rPr>
              <w:t> </w:t>
            </w:r>
            <w:proofErr w:type="spellStart"/>
            <w:r w:rsidR="007F6593" w:rsidRPr="00977110">
              <w:rPr>
                <w:sz w:val="16"/>
                <w:szCs w:val="16"/>
                <w:lang w:val="it-IT"/>
              </w:rPr>
              <w:t>million</w:t>
            </w:r>
            <w:proofErr w:type="spellEnd"/>
            <w:r w:rsidR="007F6593" w:rsidRPr="00977110">
              <w:rPr>
                <w:sz w:val="16"/>
                <w:szCs w:val="16"/>
                <w:lang w:val="it-IT"/>
              </w:rPr>
              <w:t xml:space="preserve"> </w:t>
            </w:r>
            <w:r w:rsidR="0006500E" w:rsidRPr="00977110">
              <w:rPr>
                <w:sz w:val="16"/>
                <w:szCs w:val="16"/>
                <w:lang w:val="it-IT"/>
              </w:rPr>
              <w:t xml:space="preserve">ha) </w:t>
            </w:r>
            <w:r w:rsidR="0006500E" w:rsidRPr="00977110">
              <w:rPr>
                <w:sz w:val="16"/>
                <w:szCs w:val="16"/>
                <w:lang w:val="it-IT"/>
              </w:rPr>
              <w:br/>
            </w:r>
            <w:r w:rsidR="007F6593" w:rsidRPr="00947D86">
              <w:rPr>
                <w:sz w:val="16"/>
                <w:szCs w:val="16"/>
                <w:lang w:val="it-CH"/>
              </w:rPr>
              <w:t xml:space="preserve">France </w:t>
            </w:r>
            <w:r w:rsidR="0006500E" w:rsidRPr="00977110">
              <w:rPr>
                <w:sz w:val="16"/>
                <w:szCs w:val="16"/>
                <w:lang w:val="it-IT"/>
              </w:rPr>
              <w:t>(+</w:t>
            </w:r>
            <w:r w:rsidR="007F6593" w:rsidRPr="00977110">
              <w:rPr>
                <w:sz w:val="16"/>
                <w:szCs w:val="16"/>
                <w:lang w:val="it-IT"/>
              </w:rPr>
              <w:t>0,10</w:t>
            </w:r>
            <w:r w:rsidR="0040579E">
              <w:rPr>
                <w:sz w:val="16"/>
                <w:szCs w:val="16"/>
                <w:lang w:val="it-IT"/>
              </w:rPr>
              <w:t> </w:t>
            </w:r>
            <w:proofErr w:type="spellStart"/>
            <w:r w:rsidR="007F6593" w:rsidRPr="00977110">
              <w:rPr>
                <w:sz w:val="16"/>
                <w:szCs w:val="16"/>
                <w:lang w:val="it-IT"/>
              </w:rPr>
              <w:t>million</w:t>
            </w:r>
            <w:proofErr w:type="spellEnd"/>
            <w:r w:rsidR="0006500E" w:rsidRPr="00977110">
              <w:rPr>
                <w:sz w:val="16"/>
                <w:szCs w:val="16"/>
                <w:lang w:val="it-IT"/>
              </w:rPr>
              <w:t xml:space="preserve"> ha)</w:t>
            </w:r>
          </w:p>
        </w:tc>
      </w:tr>
      <w:tr w:rsidR="00472118" w:rsidRPr="00D04F9F" w14:paraId="696FC852" w14:textId="77777777" w:rsidTr="0052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77640892" w14:textId="14D7A1EC" w:rsidR="00584129" w:rsidRPr="00977110" w:rsidRDefault="00713D44" w:rsidP="00F61C44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t>Augmentation de la surface agricole biologique de </w:t>
            </w:r>
            <w:r w:rsidR="00D039AA" w:rsidRPr="00977110">
              <w:rPr>
                <w:bCs w:val="0"/>
                <w:sz w:val="16"/>
                <w:szCs w:val="16"/>
                <w:lang w:val="fr-CH"/>
              </w:rPr>
              <w:t>2021</w:t>
            </w:r>
            <w:r w:rsidRPr="00977110">
              <w:rPr>
                <w:bCs w:val="0"/>
                <w:sz w:val="16"/>
                <w:szCs w:val="16"/>
                <w:lang w:val="fr-CH"/>
              </w:rPr>
              <w:t xml:space="preserve"> à </w:t>
            </w:r>
            <w:r w:rsidR="00D039AA" w:rsidRPr="00977110">
              <w:rPr>
                <w:bCs w:val="0"/>
                <w:sz w:val="16"/>
                <w:szCs w:val="16"/>
                <w:lang w:val="fr-CH"/>
              </w:rPr>
              <w:t>2022</w:t>
            </w:r>
            <w:r w:rsidR="00584129" w:rsidRPr="00977110">
              <w:rPr>
                <w:bCs w:val="0"/>
                <w:sz w:val="16"/>
                <w:szCs w:val="16"/>
                <w:lang w:val="fr-CH"/>
              </w:rPr>
              <w:t xml:space="preserve"> </w:t>
            </w:r>
            <w:r w:rsidR="002F0D8C" w:rsidRPr="00977110">
              <w:rPr>
                <w:bCs w:val="0"/>
                <w:sz w:val="16"/>
                <w:szCs w:val="16"/>
                <w:lang w:val="fr-CH"/>
              </w:rPr>
              <w:t>en pourcentage</w:t>
            </w:r>
          </w:p>
        </w:tc>
        <w:tc>
          <w:tcPr>
            <w:tcW w:w="1278" w:type="pct"/>
          </w:tcPr>
          <w:p w14:paraId="53A9CE1C" w14:textId="39F7E5EE" w:rsidR="00584129" w:rsidRPr="006B2B03" w:rsidRDefault="00D039AA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1,0</w:t>
            </w:r>
            <w:r w:rsidR="00584129" w:rsidRPr="006B2B03">
              <w:rPr>
                <w:sz w:val="16"/>
                <w:szCs w:val="16"/>
                <w:lang w:val="fr-CH"/>
              </w:rPr>
              <w:t>%</w:t>
            </w:r>
          </w:p>
        </w:tc>
        <w:tc>
          <w:tcPr>
            <w:tcW w:w="1278" w:type="pct"/>
          </w:tcPr>
          <w:p w14:paraId="3454F8CA" w14:textId="763CB9B8" w:rsidR="00584129" w:rsidRPr="006B2B03" w:rsidRDefault="00D039AA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5,1</w:t>
            </w:r>
            <w:r w:rsidR="003F7D09" w:rsidRPr="006B2B03">
              <w:rPr>
                <w:sz w:val="16"/>
                <w:szCs w:val="16"/>
                <w:lang w:val="fr-CH"/>
              </w:rPr>
              <w:t>%</w:t>
            </w:r>
            <w:r w:rsidR="00584129" w:rsidRPr="006B2B03">
              <w:rPr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1277" w:type="pct"/>
          </w:tcPr>
          <w:p w14:paraId="3AD93772" w14:textId="12ADB504" w:rsidR="0006500E" w:rsidRPr="00977110" w:rsidRDefault="007F6593" w:rsidP="0006500E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proofErr w:type="spellStart"/>
            <w:r w:rsidRPr="00977110">
              <w:rPr>
                <w:sz w:val="16"/>
                <w:szCs w:val="16"/>
                <w:lang w:val="it-IT"/>
              </w:rPr>
              <w:t>Grèce</w:t>
            </w:r>
            <w:proofErr w:type="spellEnd"/>
            <w:r w:rsidRPr="00977110">
              <w:rPr>
                <w:sz w:val="16"/>
                <w:szCs w:val="16"/>
                <w:lang w:val="it-IT"/>
              </w:rPr>
              <w:t xml:space="preserve"> </w:t>
            </w:r>
            <w:r w:rsidR="0006500E" w:rsidRPr="00977110">
              <w:rPr>
                <w:sz w:val="16"/>
                <w:szCs w:val="16"/>
                <w:lang w:val="fr-CH"/>
              </w:rPr>
              <w:t>(+</w:t>
            </w:r>
            <w:r w:rsidRPr="00977110">
              <w:rPr>
                <w:sz w:val="16"/>
                <w:szCs w:val="16"/>
                <w:lang w:val="fr-CH"/>
              </w:rPr>
              <w:t>73,0</w:t>
            </w:r>
            <w:r w:rsidR="0006500E" w:rsidRPr="00977110">
              <w:rPr>
                <w:sz w:val="16"/>
                <w:szCs w:val="16"/>
                <w:lang w:val="fr-CH"/>
              </w:rPr>
              <w:t>%)</w:t>
            </w:r>
          </w:p>
          <w:p w14:paraId="3A30F6FE" w14:textId="2D0626F5" w:rsidR="0006500E" w:rsidRPr="00977110" w:rsidRDefault="007F6593" w:rsidP="0006500E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 xml:space="preserve">Kosovo </w:t>
            </w:r>
            <w:r w:rsidR="0006500E" w:rsidRPr="00977110">
              <w:rPr>
                <w:sz w:val="16"/>
                <w:szCs w:val="16"/>
                <w:lang w:val="fr-CH"/>
              </w:rPr>
              <w:t>(+</w:t>
            </w:r>
            <w:r w:rsidRPr="00977110">
              <w:rPr>
                <w:sz w:val="16"/>
                <w:szCs w:val="16"/>
                <w:lang w:val="fr-CH"/>
              </w:rPr>
              <w:t>55,2</w:t>
            </w:r>
            <w:r w:rsidR="0006500E" w:rsidRPr="00977110">
              <w:rPr>
                <w:sz w:val="16"/>
                <w:szCs w:val="16"/>
                <w:lang w:val="fr-CH"/>
              </w:rPr>
              <w:t>%)</w:t>
            </w:r>
          </w:p>
          <w:p w14:paraId="03803B4E" w14:textId="601149F0" w:rsidR="00584129" w:rsidRPr="00977110" w:rsidRDefault="007F6593" w:rsidP="0006500E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 xml:space="preserve">Bulgarie </w:t>
            </w:r>
            <w:r w:rsidR="0006500E" w:rsidRPr="00977110">
              <w:rPr>
                <w:sz w:val="16"/>
                <w:szCs w:val="16"/>
                <w:lang w:val="fr-CH"/>
              </w:rPr>
              <w:t>(+</w:t>
            </w:r>
            <w:r w:rsidRPr="00977110">
              <w:rPr>
                <w:sz w:val="16"/>
                <w:szCs w:val="16"/>
                <w:lang w:val="fr-CH"/>
              </w:rPr>
              <w:t>28,0</w:t>
            </w:r>
            <w:r w:rsidR="0006500E" w:rsidRPr="00977110">
              <w:rPr>
                <w:sz w:val="16"/>
                <w:szCs w:val="16"/>
                <w:lang w:val="fr-CH"/>
              </w:rPr>
              <w:t>%)</w:t>
            </w:r>
          </w:p>
        </w:tc>
      </w:tr>
      <w:tr w:rsidR="00DA3EC7" w:rsidRPr="002372C2" w14:paraId="31FB0E1F" w14:textId="77777777" w:rsidTr="0052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59448238" w14:textId="12A77E61" w:rsidR="00DA3EC7" w:rsidRPr="00977110" w:rsidRDefault="00F2573F" w:rsidP="00DA3EC7">
            <w:pPr>
              <w:spacing w:beforeLines="20" w:before="48" w:afterLines="20" w:after="48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Utilisation des terres</w:t>
            </w:r>
          </w:p>
        </w:tc>
        <w:tc>
          <w:tcPr>
            <w:tcW w:w="1278" w:type="pct"/>
          </w:tcPr>
          <w:p w14:paraId="344472DD" w14:textId="06291D6F" w:rsidR="00DA3EC7" w:rsidRPr="006B2B03" w:rsidRDefault="00F2573F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Cultures </w:t>
            </w:r>
            <w:proofErr w:type="gramStart"/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arable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s:</w:t>
            </w:r>
            <w:proofErr w:type="gramEnd"/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8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4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ha; 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cultures permanentes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: 2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4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ha; 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prairies permanentes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: 7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4</w:t>
            </w:r>
            <w:r w:rsidR="007F5C99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ha</w:t>
            </w:r>
          </w:p>
        </w:tc>
        <w:tc>
          <w:tcPr>
            <w:tcW w:w="1278" w:type="pct"/>
          </w:tcPr>
          <w:p w14:paraId="40F75DEE" w14:textId="6BE928C9" w:rsidR="00DA3EC7" w:rsidRPr="00AE7716" w:rsidRDefault="00F2573F" w:rsidP="00AE7716">
            <w:pPr>
              <w:keepLines/>
              <w:tabs>
                <w:tab w:val="left" w:pos="3060"/>
                <w:tab w:val="left" w:pos="6120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Times New Roman"/>
                <w:sz w:val="16"/>
                <w:szCs w:val="14"/>
                <w:lang w:val="fr-FR" w:eastAsia="x-none"/>
              </w:rPr>
            </w:pP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Cultures </w:t>
            </w:r>
            <w:proofErr w:type="gramStart"/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arables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:</w:t>
            </w:r>
            <w:proofErr w:type="gramEnd"/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7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6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ha</w:t>
            </w:r>
            <w:r w:rsidR="0058737B">
              <w:rPr>
                <w:rFonts w:eastAsia="MS Mincho" w:cs="Times New Roman"/>
                <w:sz w:val="16"/>
                <w:szCs w:val="14"/>
                <w:lang w:val="fr-FR" w:eastAsia="x-none"/>
              </w:rPr>
              <w:t>; c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ultures permanentes: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2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2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="00DA3EC7" w:rsidRPr="00621497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</w:t>
            </w:r>
            <w:r w:rsidR="0058737B">
              <w:rPr>
                <w:rFonts w:eastAsia="MS Mincho" w:cs="Times New Roman"/>
                <w:sz w:val="16"/>
                <w:szCs w:val="14"/>
                <w:lang w:val="fr-FR" w:eastAsia="x-none"/>
              </w:rPr>
              <w:t>a ; p</w:t>
            </w:r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rairi</w:t>
            </w:r>
            <w:r w:rsidR="0058737B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es permanentes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: 6</w:t>
            </w:r>
            <w:r w:rsidR="007F5C99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9</w:t>
            </w:r>
            <w:r w:rsidR="007F5C99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ha</w:t>
            </w:r>
          </w:p>
        </w:tc>
        <w:tc>
          <w:tcPr>
            <w:tcW w:w="1277" w:type="pct"/>
          </w:tcPr>
          <w:p w14:paraId="6CDB3E89" w14:textId="77777777" w:rsidR="00DA3EC7" w:rsidRPr="00947D86" w:rsidRDefault="00DA3EC7" w:rsidP="00DA3EC7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</w:p>
        </w:tc>
      </w:tr>
      <w:tr w:rsidR="00DA3EC7" w:rsidRPr="002372C2" w14:paraId="7EFC23B1" w14:textId="77777777" w:rsidTr="0052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01101696" w14:textId="0CF7A423" w:rsidR="00DA3EC7" w:rsidRPr="00110B0B" w:rsidRDefault="00110B0B" w:rsidP="00DA3EC7">
            <w:pPr>
              <w:spacing w:beforeLines="20" w:before="48" w:afterLines="20" w:after="48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Principaux groupes de cultures arables</w:t>
            </w:r>
          </w:p>
        </w:tc>
        <w:tc>
          <w:tcPr>
            <w:tcW w:w="1278" w:type="pct"/>
          </w:tcPr>
          <w:p w14:paraId="613F37CE" w14:textId="14FAA725" w:rsidR="00DA3EC7" w:rsidRPr="00A121E4" w:rsidRDefault="00C316F6" w:rsidP="00A121E4">
            <w:pPr>
              <w:keepLines/>
              <w:tabs>
                <w:tab w:val="left" w:pos="3060"/>
                <w:tab w:val="left" w:pos="6120"/>
              </w:tabs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Mincho" w:cs="Times New Roman"/>
                <w:sz w:val="16"/>
                <w:szCs w:val="14"/>
                <w:lang w:val="fr-FR" w:eastAsia="x-none"/>
              </w:rPr>
            </w:pPr>
            <w:proofErr w:type="gramStart"/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Céréale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s:</w:t>
            </w:r>
            <w:proofErr w:type="gramEnd"/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2</w:t>
            </w:r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9</w:t>
            </w:r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ha</w:t>
            </w:r>
            <w:r w:rsidR="00A121E4">
              <w:rPr>
                <w:rFonts w:eastAsia="MS Mincho" w:cs="Times New Roman"/>
                <w:sz w:val="16"/>
                <w:szCs w:val="14"/>
                <w:lang w:val="fr-FR" w:eastAsia="x-none"/>
              </w:rPr>
              <w:t>; f</w:t>
            </w:r>
            <w:r w:rsidR="008778D8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ourrages verts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: 2</w:t>
            </w:r>
            <w:r w:rsidR="008778D8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7</w:t>
            </w:r>
            <w:r w:rsid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ha</w:t>
            </w:r>
            <w:r w:rsidR="00A121E4">
              <w:rPr>
                <w:rFonts w:eastAsia="MS Mincho" w:cs="Times New Roman"/>
                <w:sz w:val="16"/>
                <w:szCs w:val="14"/>
                <w:lang w:val="fr-FR" w:eastAsia="x-none"/>
              </w:rPr>
              <w:t>; o</w:t>
            </w:r>
            <w:r w:rsidR="00416B71" w:rsidRPr="00A121E4">
              <w:rPr>
                <w:rFonts w:eastAsia="MS Mincho" w:cs="Times New Roman"/>
                <w:sz w:val="16"/>
                <w:szCs w:val="14"/>
                <w:lang w:val="fr-FR" w:eastAsia="x-none"/>
              </w:rPr>
              <w:t>léagineux</w:t>
            </w:r>
            <w:r w:rsidR="00DA3EC7" w:rsidRPr="00A121E4">
              <w:rPr>
                <w:rFonts w:eastAsia="MS Mincho" w:cs="Times New Roman"/>
                <w:sz w:val="16"/>
                <w:szCs w:val="14"/>
                <w:lang w:val="fr-FR" w:eastAsia="x-none"/>
              </w:rPr>
              <w:t>: 0</w:t>
            </w:r>
            <w:r w:rsidR="00416B71" w:rsidRPr="00A121E4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A121E4">
              <w:rPr>
                <w:rFonts w:eastAsia="MS Mincho" w:cs="Times New Roman"/>
                <w:sz w:val="16"/>
                <w:szCs w:val="14"/>
                <w:lang w:val="fr-FR" w:eastAsia="x-none"/>
              </w:rPr>
              <w:t>7</w:t>
            </w:r>
            <w:r w:rsidR="00416B71" w:rsidRPr="00A121E4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A121E4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 ha</w:t>
            </w:r>
          </w:p>
        </w:tc>
        <w:tc>
          <w:tcPr>
            <w:tcW w:w="1278" w:type="pct"/>
          </w:tcPr>
          <w:p w14:paraId="514CC655" w14:textId="0CFF282E" w:rsidR="00DA3EC7" w:rsidRPr="00AE7716" w:rsidRDefault="00310745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FR"/>
              </w:rPr>
            </w:pPr>
            <w:proofErr w:type="gramStart"/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Céréales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:</w:t>
            </w:r>
            <w:proofErr w:type="gramEnd"/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2</w:t>
            </w:r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6</w:t>
            </w:r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ha</w:t>
            </w:r>
            <w:r w:rsidR="004F2A3F">
              <w:rPr>
                <w:rFonts w:eastAsia="MS Mincho" w:cs="Times New Roman"/>
                <w:sz w:val="16"/>
                <w:szCs w:val="14"/>
                <w:lang w:val="fr-FR" w:eastAsia="x-none"/>
              </w:rPr>
              <w:t>; f</w:t>
            </w:r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ourrages verts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: 2</w:t>
            </w:r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6</w:t>
            </w:r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ha</w:t>
            </w:r>
            <w:r w:rsidR="004F2A3F">
              <w:rPr>
                <w:rFonts w:eastAsia="MS Mincho" w:cs="Times New Roman"/>
                <w:sz w:val="16"/>
                <w:szCs w:val="14"/>
                <w:lang w:val="fr-FR" w:eastAsia="x-none"/>
              </w:rPr>
              <w:t>; l</w:t>
            </w:r>
            <w:r w:rsid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égumineuses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: 0</w:t>
            </w:r>
            <w:r w:rsid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5</w:t>
            </w:r>
            <w:r w:rsid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ha</w:t>
            </w:r>
          </w:p>
        </w:tc>
        <w:tc>
          <w:tcPr>
            <w:tcW w:w="1277" w:type="pct"/>
          </w:tcPr>
          <w:p w14:paraId="068BF93E" w14:textId="67FCED74" w:rsidR="00DA3EC7" w:rsidRPr="00AE7716" w:rsidRDefault="00AE7716" w:rsidP="00DA3EC7">
            <w:pPr>
              <w:keepLines/>
              <w:tabs>
                <w:tab w:val="left" w:pos="3060"/>
                <w:tab w:val="left" w:pos="6120"/>
              </w:tabs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Mincho" w:cs="Times New Roman"/>
                <w:sz w:val="16"/>
                <w:szCs w:val="14"/>
                <w:lang w:val="fr-FR" w:eastAsia="x-none"/>
              </w:rPr>
            </w:pPr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Surfaces </w:t>
            </w:r>
            <w:r w:rsid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de cultures </w:t>
            </w:r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arables les plus </w:t>
            </w:r>
            <w:proofErr w:type="gramStart"/>
            <w:r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élevées</w:t>
            </w:r>
            <w:r w:rsidR="00DA3EC7" w:rsidRPr="00AE7716">
              <w:rPr>
                <w:rFonts w:eastAsia="MS Mincho" w:cs="Times New Roman"/>
                <w:sz w:val="16"/>
                <w:szCs w:val="14"/>
                <w:lang w:val="fr-FR" w:eastAsia="x-none"/>
              </w:rPr>
              <w:t>:</w:t>
            </w:r>
            <w:proofErr w:type="gramEnd"/>
          </w:p>
          <w:p w14:paraId="096190C9" w14:textId="1C950B92" w:rsidR="00DA3EC7" w:rsidRPr="00977110" w:rsidRDefault="00DA3EC7" w:rsidP="00DA3EC7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France (1</w:t>
            </w:r>
            <w:r w:rsidR="00AE7716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,</w:t>
            </w:r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6 </w:t>
            </w:r>
            <w:proofErr w:type="spellStart"/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million</w:t>
            </w:r>
            <w:proofErr w:type="spellEnd"/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 ha); </w:t>
            </w:r>
            <w:r w:rsidR="00AE7716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Italie</w:t>
            </w:r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 (1</w:t>
            </w:r>
            <w:r w:rsidR="00AE7716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,</w:t>
            </w:r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1</w:t>
            </w:r>
            <w:r w:rsidR="00AE7716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 </w:t>
            </w:r>
            <w:proofErr w:type="spellStart"/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million</w:t>
            </w:r>
            <w:proofErr w:type="spellEnd"/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 ha); </w:t>
            </w:r>
            <w:proofErr w:type="spellStart"/>
            <w:r w:rsidR="00AE7716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Allemagne</w:t>
            </w:r>
            <w:proofErr w:type="spellEnd"/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 (0</w:t>
            </w:r>
            <w:r w:rsidR="00AE7716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,</w:t>
            </w:r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8</w:t>
            </w:r>
            <w:r w:rsidR="00AE7716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 </w:t>
            </w:r>
            <w:proofErr w:type="spellStart"/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million</w:t>
            </w:r>
            <w:proofErr w:type="spellEnd"/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 ha)</w:t>
            </w:r>
          </w:p>
        </w:tc>
      </w:tr>
      <w:tr w:rsidR="00DA3EC7" w:rsidRPr="002372C2" w14:paraId="72901398" w14:textId="77777777" w:rsidTr="0052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124B223A" w14:textId="4F1F1C79" w:rsidR="00DA3EC7" w:rsidRPr="00994C2D" w:rsidRDefault="00994C2D" w:rsidP="00DA3EC7">
            <w:pPr>
              <w:spacing w:beforeLines="20" w:before="48" w:afterLines="20" w:after="48"/>
              <w:rPr>
                <w:sz w:val="16"/>
                <w:szCs w:val="16"/>
                <w:lang w:val="fr-FR"/>
              </w:rPr>
            </w:pP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Principa</w:t>
            </w:r>
            <w:r w:rsidR="00E01488">
              <w:rPr>
                <w:rFonts w:eastAsia="MS Mincho" w:cs="Times New Roman"/>
                <w:sz w:val="16"/>
                <w:szCs w:val="14"/>
                <w:lang w:val="fr-FR" w:eastAsia="x-none"/>
              </w:rPr>
              <w:t>u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x groupes de cultures p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ermanentes</w:t>
            </w:r>
          </w:p>
        </w:tc>
        <w:tc>
          <w:tcPr>
            <w:tcW w:w="1278" w:type="pct"/>
          </w:tcPr>
          <w:p w14:paraId="676CD5EC" w14:textId="33B51E3D" w:rsidR="00DA3EC7" w:rsidRPr="004F2A3F" w:rsidRDefault="00DA3EC7" w:rsidP="004F2A3F">
            <w:pPr>
              <w:keepLines/>
              <w:tabs>
                <w:tab w:val="left" w:pos="3060"/>
                <w:tab w:val="left" w:pos="6120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Times New Roman"/>
                <w:sz w:val="16"/>
                <w:szCs w:val="14"/>
                <w:lang w:val="fr-FR" w:eastAsia="x-none"/>
              </w:rPr>
            </w:pPr>
            <w:proofErr w:type="gramStart"/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Olives:</w:t>
            </w:r>
            <w:proofErr w:type="gramEnd"/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0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6</w:t>
            </w:r>
            <w:r w:rsid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</w:t>
            </w:r>
            <w:r w:rsidR="00FC26D8">
              <w:rPr>
                <w:rFonts w:eastAsia="MS Mincho" w:cs="Times New Roman"/>
                <w:sz w:val="16"/>
                <w:szCs w:val="14"/>
                <w:lang w:val="fr-FR" w:eastAsia="x-none"/>
              </w:rPr>
              <w:t>s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ha</w:t>
            </w:r>
            <w:r w:rsidR="004F2A3F">
              <w:rPr>
                <w:rFonts w:eastAsia="MS Mincho" w:cs="Times New Roman"/>
                <w:sz w:val="16"/>
                <w:szCs w:val="14"/>
                <w:lang w:val="fr-FR" w:eastAsia="x-none"/>
              </w:rPr>
              <w:t>; r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aisins: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0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5</w:t>
            </w:r>
            <w:r w:rsid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 ha</w:t>
            </w:r>
            <w:r w:rsidR="004F2A3F">
              <w:rPr>
                <w:rFonts w:eastAsia="MS Mincho" w:cs="Times New Roman"/>
                <w:sz w:val="16"/>
                <w:szCs w:val="14"/>
                <w:lang w:val="fr-FR" w:eastAsia="x-none"/>
              </w:rPr>
              <w:t>; n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oix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: 0</w:t>
            </w:r>
            <w:r w:rsid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5</w:t>
            </w:r>
            <w:r w:rsid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 ha</w:t>
            </w:r>
          </w:p>
        </w:tc>
        <w:tc>
          <w:tcPr>
            <w:tcW w:w="1278" w:type="pct"/>
          </w:tcPr>
          <w:p w14:paraId="5557AA2E" w14:textId="5DDCC3D6" w:rsidR="00DA3EC7" w:rsidRPr="004F2A3F" w:rsidRDefault="00DA3EC7" w:rsidP="004F2A3F">
            <w:pPr>
              <w:keepLines/>
              <w:tabs>
                <w:tab w:val="left" w:pos="3060"/>
                <w:tab w:val="left" w:pos="6120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Times New Roman"/>
                <w:sz w:val="16"/>
                <w:szCs w:val="14"/>
                <w:lang w:val="fr-FR" w:eastAsia="x-none"/>
              </w:rPr>
            </w:pPr>
            <w:proofErr w:type="gramStart"/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Olives:</w:t>
            </w:r>
            <w:proofErr w:type="gramEnd"/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 0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6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 h</w:t>
            </w:r>
            <w:r w:rsidR="004F2A3F">
              <w:rPr>
                <w:rFonts w:eastAsia="MS Mincho" w:cs="Times New Roman"/>
                <w:sz w:val="16"/>
                <w:szCs w:val="14"/>
                <w:lang w:val="fr-FR" w:eastAsia="x-none"/>
              </w:rPr>
              <w:t>a; r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aisins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: 0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5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 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million ha</w:t>
            </w:r>
            <w:r w:rsidR="004F2A3F">
              <w:rPr>
                <w:rFonts w:eastAsia="MS Mincho" w:cs="Times New Roman"/>
                <w:sz w:val="16"/>
                <w:szCs w:val="14"/>
                <w:lang w:val="fr-FR" w:eastAsia="x-none"/>
              </w:rPr>
              <w:t>; n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oix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: 0</w:t>
            </w:r>
            <w:r w:rsidR="00994C2D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,</w:t>
            </w: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4 million ha</w:t>
            </w:r>
          </w:p>
        </w:tc>
        <w:tc>
          <w:tcPr>
            <w:tcW w:w="1277" w:type="pct"/>
          </w:tcPr>
          <w:p w14:paraId="239C20D9" w14:textId="4DD9244C" w:rsidR="00DA3EC7" w:rsidRPr="00994C2D" w:rsidRDefault="00994C2D" w:rsidP="00DA3EC7">
            <w:pPr>
              <w:keepLines/>
              <w:tabs>
                <w:tab w:val="left" w:pos="3060"/>
                <w:tab w:val="left" w:pos="6120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Times New Roman"/>
                <w:sz w:val="16"/>
                <w:szCs w:val="14"/>
                <w:lang w:val="fr-FR" w:eastAsia="x-none"/>
              </w:rPr>
            </w:pPr>
            <w:r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Surfaces de cultures perman</w:t>
            </w:r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 xml:space="preserve">entes les plus </w:t>
            </w:r>
            <w:proofErr w:type="gramStart"/>
            <w:r>
              <w:rPr>
                <w:rFonts w:eastAsia="MS Mincho" w:cs="Times New Roman"/>
                <w:sz w:val="16"/>
                <w:szCs w:val="14"/>
                <w:lang w:val="fr-FR" w:eastAsia="x-none"/>
              </w:rPr>
              <w:t>élevées</w:t>
            </w:r>
            <w:r w:rsidR="00DA3EC7" w:rsidRPr="00994C2D">
              <w:rPr>
                <w:rFonts w:eastAsia="MS Mincho" w:cs="Times New Roman"/>
                <w:sz w:val="16"/>
                <w:szCs w:val="14"/>
                <w:lang w:val="fr-FR" w:eastAsia="x-none"/>
              </w:rPr>
              <w:t>:</w:t>
            </w:r>
            <w:proofErr w:type="gramEnd"/>
          </w:p>
          <w:p w14:paraId="1F2892AF" w14:textId="4A755992" w:rsidR="00DA3EC7" w:rsidRPr="00977110" w:rsidRDefault="00994C2D" w:rsidP="00DA3EC7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proofErr w:type="spellStart"/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Espagne</w:t>
            </w:r>
            <w:proofErr w:type="spellEnd"/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 (0</w:t>
            </w:r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,</w:t>
            </w:r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8 </w:t>
            </w:r>
            <w:proofErr w:type="spellStart"/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million</w:t>
            </w:r>
            <w:proofErr w:type="spellEnd"/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 ha; </w:t>
            </w:r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Italie</w:t>
            </w:r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 (0</w:t>
            </w:r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,</w:t>
            </w:r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6 </w:t>
            </w:r>
            <w:proofErr w:type="spellStart"/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million</w:t>
            </w:r>
            <w:proofErr w:type="spellEnd"/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 ha); France (0</w:t>
            </w:r>
            <w:r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,</w:t>
            </w:r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2 </w:t>
            </w:r>
            <w:proofErr w:type="spellStart"/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>million</w:t>
            </w:r>
            <w:proofErr w:type="spellEnd"/>
            <w:r w:rsidR="00DA3EC7" w:rsidRPr="00947D86">
              <w:rPr>
                <w:rFonts w:eastAsia="MS Mincho" w:cs="Times New Roman"/>
                <w:sz w:val="16"/>
                <w:szCs w:val="14"/>
                <w:lang w:val="it-CH" w:eastAsia="x-none"/>
              </w:rPr>
              <w:t xml:space="preserve"> ha)</w:t>
            </w:r>
          </w:p>
        </w:tc>
      </w:tr>
      <w:tr w:rsidR="00DA3EC7" w:rsidRPr="002372C2" w14:paraId="1C4E2FEA" w14:textId="77777777" w:rsidTr="0052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0064D958" w14:textId="21715840" w:rsidR="00DA3EC7" w:rsidRPr="00977110" w:rsidRDefault="00DA3EC7" w:rsidP="00DA3EC7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t>Surface de cueillette sauvage en hectares</w:t>
            </w:r>
          </w:p>
        </w:tc>
        <w:tc>
          <w:tcPr>
            <w:tcW w:w="1278" w:type="pct"/>
          </w:tcPr>
          <w:p w14:paraId="37F2B97F" w14:textId="4FDA8802" w:rsidR="00DA3EC7" w:rsidRPr="006B2B03" w:rsidRDefault="00DA3EC7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11,3</w:t>
            </w:r>
            <w:r w:rsidR="00333166">
              <w:rPr>
                <w:sz w:val="16"/>
                <w:szCs w:val="16"/>
                <w:lang w:val="fr-CH"/>
              </w:rPr>
              <w:t> </w:t>
            </w:r>
            <w:r w:rsidRPr="006B2B03">
              <w:rPr>
                <w:sz w:val="16"/>
                <w:szCs w:val="16"/>
                <w:lang w:val="fr-CH"/>
              </w:rPr>
              <w:t>millions ha</w:t>
            </w:r>
          </w:p>
        </w:tc>
        <w:tc>
          <w:tcPr>
            <w:tcW w:w="1278" w:type="pct"/>
          </w:tcPr>
          <w:p w14:paraId="75C2FD46" w14:textId="31F854EF" w:rsidR="00DA3EC7" w:rsidRPr="006B2B03" w:rsidRDefault="00DA3EC7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7,3</w:t>
            </w:r>
            <w:r w:rsidR="00333166">
              <w:rPr>
                <w:sz w:val="16"/>
                <w:szCs w:val="16"/>
                <w:lang w:val="fr-CH"/>
              </w:rPr>
              <w:t> </w:t>
            </w:r>
            <w:r w:rsidRPr="006B2B03">
              <w:rPr>
                <w:sz w:val="16"/>
                <w:szCs w:val="16"/>
                <w:lang w:val="fr-CH"/>
              </w:rPr>
              <w:t>millions ha</w:t>
            </w:r>
          </w:p>
        </w:tc>
        <w:tc>
          <w:tcPr>
            <w:tcW w:w="1277" w:type="pct"/>
          </w:tcPr>
          <w:p w14:paraId="547B613C" w14:textId="3BD2BBDD" w:rsidR="00DA3EC7" w:rsidRPr="00977110" w:rsidRDefault="00DA3EC7" w:rsidP="00DA3EC7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proofErr w:type="spellStart"/>
            <w:r w:rsidRPr="00977110">
              <w:rPr>
                <w:sz w:val="16"/>
                <w:szCs w:val="16"/>
                <w:lang w:val="it-IT"/>
              </w:rPr>
              <w:t>Finlande</w:t>
            </w:r>
            <w:proofErr w:type="spellEnd"/>
            <w:r w:rsidRPr="00977110">
              <w:rPr>
                <w:sz w:val="16"/>
                <w:szCs w:val="16"/>
                <w:lang w:val="it-IT"/>
              </w:rPr>
              <w:t xml:space="preserve"> (6,9</w:t>
            </w:r>
            <w:r w:rsidR="00333166">
              <w:rPr>
                <w:sz w:val="16"/>
                <w:szCs w:val="16"/>
                <w:lang w:val="it-IT"/>
              </w:rPr>
              <w:t> </w:t>
            </w:r>
            <w:proofErr w:type="spellStart"/>
            <w:r w:rsidRPr="00977110">
              <w:rPr>
                <w:sz w:val="16"/>
                <w:szCs w:val="16"/>
                <w:lang w:val="it-IT"/>
              </w:rPr>
              <w:t>millions</w:t>
            </w:r>
            <w:proofErr w:type="spellEnd"/>
            <w:r w:rsidRPr="00977110">
              <w:rPr>
                <w:sz w:val="16"/>
                <w:szCs w:val="16"/>
                <w:lang w:val="it-IT"/>
              </w:rPr>
              <w:t xml:space="preserve"> ha)</w:t>
            </w:r>
            <w:r w:rsidRPr="00977110">
              <w:rPr>
                <w:sz w:val="16"/>
                <w:szCs w:val="16"/>
                <w:lang w:val="it-IT"/>
              </w:rPr>
              <w:br/>
            </w:r>
            <w:proofErr w:type="spellStart"/>
            <w:r w:rsidRPr="00977110">
              <w:rPr>
                <w:sz w:val="16"/>
                <w:szCs w:val="16"/>
                <w:lang w:val="it-IT"/>
              </w:rPr>
              <w:t>Macédoine</w:t>
            </w:r>
            <w:proofErr w:type="spellEnd"/>
            <w:r w:rsidRPr="00977110">
              <w:rPr>
                <w:sz w:val="16"/>
                <w:szCs w:val="16"/>
                <w:lang w:val="it-IT"/>
              </w:rPr>
              <w:t xml:space="preserve"> (0,6</w:t>
            </w:r>
            <w:r w:rsidR="00333166">
              <w:rPr>
                <w:sz w:val="16"/>
                <w:szCs w:val="16"/>
                <w:lang w:val="it-IT"/>
              </w:rPr>
              <w:t> </w:t>
            </w:r>
            <w:proofErr w:type="spellStart"/>
            <w:r w:rsidRPr="00977110">
              <w:rPr>
                <w:sz w:val="16"/>
                <w:szCs w:val="16"/>
                <w:lang w:val="it-IT"/>
              </w:rPr>
              <w:t>million</w:t>
            </w:r>
            <w:proofErr w:type="spellEnd"/>
            <w:r w:rsidRPr="00977110">
              <w:rPr>
                <w:sz w:val="16"/>
                <w:szCs w:val="16"/>
                <w:lang w:val="it-IT"/>
              </w:rPr>
              <w:t xml:space="preserve"> ha)</w:t>
            </w:r>
            <w:r w:rsidRPr="00977110">
              <w:rPr>
                <w:sz w:val="16"/>
                <w:szCs w:val="16"/>
                <w:lang w:val="it-IT"/>
              </w:rPr>
              <w:br/>
            </w:r>
            <w:proofErr w:type="spellStart"/>
            <w:r w:rsidRPr="00977110">
              <w:rPr>
                <w:sz w:val="16"/>
                <w:szCs w:val="16"/>
                <w:lang w:val="it-IT"/>
              </w:rPr>
              <w:t>Albanie</w:t>
            </w:r>
            <w:proofErr w:type="spellEnd"/>
            <w:r w:rsidRPr="00977110">
              <w:rPr>
                <w:sz w:val="16"/>
                <w:szCs w:val="16"/>
                <w:lang w:val="it-IT"/>
              </w:rPr>
              <w:t xml:space="preserve"> (0,5</w:t>
            </w:r>
            <w:r w:rsidR="00333166">
              <w:rPr>
                <w:sz w:val="16"/>
                <w:szCs w:val="16"/>
                <w:lang w:val="it-IT"/>
              </w:rPr>
              <w:t> </w:t>
            </w:r>
            <w:proofErr w:type="spellStart"/>
            <w:r w:rsidRPr="00977110">
              <w:rPr>
                <w:sz w:val="16"/>
                <w:szCs w:val="16"/>
                <w:lang w:val="it-IT"/>
              </w:rPr>
              <w:t>million</w:t>
            </w:r>
            <w:proofErr w:type="spellEnd"/>
            <w:r w:rsidRPr="00977110">
              <w:rPr>
                <w:sz w:val="16"/>
                <w:szCs w:val="16"/>
                <w:lang w:val="it-IT"/>
              </w:rPr>
              <w:t xml:space="preserve"> ha)</w:t>
            </w:r>
          </w:p>
        </w:tc>
      </w:tr>
      <w:tr w:rsidR="00DA3EC7" w:rsidRPr="002372C2" w14:paraId="32444FBE" w14:textId="77777777" w:rsidTr="0052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7E90D3CF" w14:textId="38706CD4" w:rsidR="00DA3EC7" w:rsidRPr="00977110" w:rsidRDefault="00DA3EC7" w:rsidP="00DA3EC7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t>Producteurs</w:t>
            </w:r>
          </w:p>
        </w:tc>
        <w:tc>
          <w:tcPr>
            <w:tcW w:w="1278" w:type="pct"/>
          </w:tcPr>
          <w:p w14:paraId="151AA80F" w14:textId="68D84B96" w:rsidR="00DA3EC7" w:rsidRPr="006B2B03" w:rsidRDefault="00DA3EC7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rFonts w:eastAsia="MS Mincho" w:cs="Times New Roman"/>
                <w:color w:val="000000"/>
                <w:sz w:val="16"/>
                <w:szCs w:val="16"/>
                <w:lang w:val="en-IE" w:eastAsia="x-none"/>
              </w:rPr>
              <w:t>480</w:t>
            </w:r>
            <w:r w:rsidR="00783897">
              <w:rPr>
                <w:rFonts w:ascii="Arial" w:eastAsia="MS Mincho" w:hAnsi="Arial" w:cs="Arial"/>
                <w:color w:val="000000"/>
                <w:sz w:val="16"/>
                <w:szCs w:val="16"/>
                <w:lang w:val="en-IE" w:eastAsia="x-none"/>
              </w:rPr>
              <w:t>ʼ</w:t>
            </w:r>
            <w:r w:rsidRPr="006B2B03">
              <w:rPr>
                <w:rFonts w:eastAsia="MS Mincho" w:cs="Times New Roman"/>
                <w:color w:val="000000"/>
                <w:sz w:val="16"/>
                <w:szCs w:val="16"/>
                <w:lang w:val="en-IE" w:eastAsia="x-none"/>
              </w:rPr>
              <w:t>135</w:t>
            </w:r>
          </w:p>
        </w:tc>
        <w:tc>
          <w:tcPr>
            <w:tcW w:w="1278" w:type="pct"/>
          </w:tcPr>
          <w:p w14:paraId="3AAE04AB" w14:textId="2F2B0C6D" w:rsidR="00DA3EC7" w:rsidRPr="006B2B03" w:rsidRDefault="00DA3EC7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rFonts w:eastAsia="MS Mincho" w:cs="Times New Roman"/>
                <w:snapToGrid w:val="0"/>
                <w:color w:val="000000"/>
                <w:sz w:val="16"/>
                <w:szCs w:val="16"/>
                <w:lang w:val="en-IE" w:eastAsia="x-none"/>
              </w:rPr>
              <w:t>419</w:t>
            </w:r>
            <w:r w:rsidR="00783897">
              <w:rPr>
                <w:rFonts w:ascii="Arial" w:eastAsia="MS Mincho" w:hAnsi="Arial" w:cs="Arial"/>
                <w:snapToGrid w:val="0"/>
                <w:color w:val="000000"/>
                <w:sz w:val="16"/>
                <w:szCs w:val="16"/>
                <w:lang w:val="en-IE" w:eastAsia="x-none"/>
              </w:rPr>
              <w:t>ʼ</w:t>
            </w:r>
            <w:r w:rsidRPr="006B2B03">
              <w:rPr>
                <w:rFonts w:eastAsia="MS Mincho" w:cs="Times New Roman"/>
                <w:snapToGrid w:val="0"/>
                <w:color w:val="000000"/>
                <w:sz w:val="16"/>
                <w:szCs w:val="16"/>
                <w:lang w:val="en-IE" w:eastAsia="x-none"/>
              </w:rPr>
              <w:t>112</w:t>
            </w:r>
          </w:p>
        </w:tc>
        <w:tc>
          <w:tcPr>
            <w:tcW w:w="1277" w:type="pct"/>
          </w:tcPr>
          <w:p w14:paraId="40F5D6F5" w14:textId="02244BEE" w:rsidR="00DA3EC7" w:rsidRPr="00977110" w:rsidRDefault="00DA3EC7" w:rsidP="00DA3EC7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>Italie (82</w:t>
            </w:r>
            <w:r w:rsidR="00783897">
              <w:rPr>
                <w:rFonts w:ascii="Arial" w:hAnsi="Arial" w:cs="Arial"/>
                <w:sz w:val="16"/>
                <w:szCs w:val="16"/>
                <w:lang w:val="fr-CH"/>
              </w:rPr>
              <w:t>ʼ</w:t>
            </w:r>
            <w:r w:rsidRPr="00977110">
              <w:rPr>
                <w:sz w:val="16"/>
                <w:szCs w:val="16"/>
                <w:lang w:val="fr-CH"/>
              </w:rPr>
              <w:t>593)</w:t>
            </w:r>
            <w:r w:rsidRPr="00977110">
              <w:rPr>
                <w:sz w:val="16"/>
                <w:szCs w:val="16"/>
                <w:lang w:val="fr-CH"/>
              </w:rPr>
              <w:br/>
            </w:r>
            <w:r w:rsidRPr="00947D86">
              <w:rPr>
                <w:sz w:val="16"/>
                <w:szCs w:val="16"/>
                <w:lang w:val="fr-CH"/>
              </w:rPr>
              <w:t xml:space="preserve">Grèce </w:t>
            </w:r>
            <w:r w:rsidRPr="00977110">
              <w:rPr>
                <w:sz w:val="16"/>
                <w:szCs w:val="16"/>
                <w:lang w:val="fr-CH"/>
              </w:rPr>
              <w:t>(58</w:t>
            </w:r>
            <w:r w:rsidR="00783897">
              <w:rPr>
                <w:rFonts w:ascii="Arial" w:hAnsi="Arial" w:cs="Arial"/>
                <w:sz w:val="16"/>
                <w:szCs w:val="16"/>
                <w:lang w:val="fr-CH"/>
              </w:rPr>
              <w:t>ʼ</w:t>
            </w:r>
            <w:r w:rsidRPr="00977110">
              <w:rPr>
                <w:sz w:val="16"/>
                <w:szCs w:val="16"/>
                <w:lang w:val="fr-CH"/>
              </w:rPr>
              <w:t>691)</w:t>
            </w:r>
            <w:r w:rsidRPr="00977110">
              <w:rPr>
                <w:sz w:val="16"/>
                <w:szCs w:val="16"/>
                <w:lang w:val="fr-CH"/>
              </w:rPr>
              <w:br/>
              <w:t>France (58</w:t>
            </w:r>
            <w:r w:rsidR="00783897">
              <w:rPr>
                <w:rFonts w:ascii="Arial" w:hAnsi="Arial" w:cs="Arial"/>
                <w:sz w:val="16"/>
                <w:szCs w:val="16"/>
                <w:lang w:val="fr-CH"/>
              </w:rPr>
              <w:t>ʼ</w:t>
            </w:r>
            <w:r w:rsidRPr="00977110">
              <w:rPr>
                <w:sz w:val="16"/>
                <w:szCs w:val="16"/>
                <w:lang w:val="fr-CH"/>
              </w:rPr>
              <w:t>413)</w:t>
            </w:r>
          </w:p>
        </w:tc>
      </w:tr>
      <w:tr w:rsidR="00DA3EC7" w:rsidRPr="002372C2" w14:paraId="67900E17" w14:textId="77777777" w:rsidTr="0052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01B40498" w14:textId="21C16C16" w:rsidR="00DA3EC7" w:rsidRPr="00977110" w:rsidRDefault="00DA3EC7" w:rsidP="00DA3EC7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t>Transformateurs</w:t>
            </w:r>
          </w:p>
        </w:tc>
        <w:tc>
          <w:tcPr>
            <w:tcW w:w="1278" w:type="pct"/>
          </w:tcPr>
          <w:p w14:paraId="7220E327" w14:textId="17C7BC5E" w:rsidR="00DA3EC7" w:rsidRPr="006B2B03" w:rsidRDefault="00DA3EC7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rFonts w:eastAsia="MS Mincho" w:cs="Times New Roman"/>
                <w:snapToGrid w:val="0"/>
                <w:color w:val="000000"/>
                <w:sz w:val="16"/>
                <w:szCs w:val="16"/>
                <w:lang w:val="en-IE" w:eastAsia="x-none"/>
              </w:rPr>
              <w:t>91</w:t>
            </w:r>
            <w:r w:rsidR="00783897">
              <w:rPr>
                <w:rFonts w:ascii="Arial" w:eastAsia="MS Mincho" w:hAnsi="Arial" w:cs="Arial"/>
                <w:snapToGrid w:val="0"/>
                <w:color w:val="000000"/>
                <w:sz w:val="16"/>
                <w:szCs w:val="16"/>
                <w:lang w:val="en-IE" w:eastAsia="x-none"/>
              </w:rPr>
              <w:t>ʼ</w:t>
            </w:r>
            <w:r w:rsidRPr="006B2B03">
              <w:rPr>
                <w:rFonts w:eastAsia="MS Mincho" w:cs="Times New Roman"/>
                <w:snapToGrid w:val="0"/>
                <w:color w:val="000000"/>
                <w:sz w:val="16"/>
                <w:szCs w:val="16"/>
                <w:lang w:val="en-IE" w:eastAsia="x-none"/>
              </w:rPr>
              <w:t>775</w:t>
            </w:r>
          </w:p>
        </w:tc>
        <w:tc>
          <w:tcPr>
            <w:tcW w:w="1278" w:type="pct"/>
          </w:tcPr>
          <w:p w14:paraId="72B74840" w14:textId="524918D3" w:rsidR="00DA3EC7" w:rsidRPr="006B2B03" w:rsidRDefault="00DA3EC7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rFonts w:eastAsia="MS Mincho" w:cs="Times New Roman"/>
                <w:color w:val="000000"/>
                <w:sz w:val="16"/>
                <w:szCs w:val="16"/>
                <w:lang w:val="en-IE" w:eastAsia="x-none"/>
              </w:rPr>
              <w:t>85</w:t>
            </w:r>
            <w:r w:rsidR="00783897">
              <w:rPr>
                <w:rFonts w:ascii="Arial" w:eastAsia="MS Mincho" w:hAnsi="Arial" w:cs="Arial"/>
                <w:color w:val="000000"/>
                <w:sz w:val="16"/>
                <w:szCs w:val="16"/>
                <w:lang w:val="en-IE" w:eastAsia="x-none"/>
              </w:rPr>
              <w:t>ʼ</w:t>
            </w:r>
            <w:r w:rsidRPr="006B2B03">
              <w:rPr>
                <w:rFonts w:eastAsia="MS Mincho" w:cs="Times New Roman"/>
                <w:color w:val="000000"/>
                <w:sz w:val="16"/>
                <w:szCs w:val="16"/>
                <w:lang w:val="en-IE" w:eastAsia="x-none"/>
              </w:rPr>
              <w:t>956</w:t>
            </w:r>
          </w:p>
        </w:tc>
        <w:tc>
          <w:tcPr>
            <w:tcW w:w="1277" w:type="pct"/>
          </w:tcPr>
          <w:p w14:paraId="7C5BC48B" w14:textId="59E681AE" w:rsidR="00DA3EC7" w:rsidRPr="00977110" w:rsidRDefault="00DA3EC7" w:rsidP="00DA3EC7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>Italie (23</w:t>
            </w:r>
            <w:r w:rsidR="00783897">
              <w:rPr>
                <w:rFonts w:ascii="Arial" w:hAnsi="Arial" w:cs="Arial"/>
                <w:sz w:val="16"/>
                <w:szCs w:val="16"/>
                <w:lang w:val="fr-CH"/>
              </w:rPr>
              <w:t>ʼ</w:t>
            </w:r>
            <w:r w:rsidRPr="00977110">
              <w:rPr>
                <w:sz w:val="16"/>
                <w:szCs w:val="16"/>
                <w:lang w:val="fr-CH"/>
              </w:rPr>
              <w:t>602)</w:t>
            </w:r>
            <w:r w:rsidRPr="00977110">
              <w:rPr>
                <w:sz w:val="16"/>
                <w:szCs w:val="16"/>
                <w:lang w:val="fr-CH"/>
              </w:rPr>
              <w:br/>
              <w:t>Allemagne (21</w:t>
            </w:r>
            <w:r w:rsidR="00783897">
              <w:rPr>
                <w:rFonts w:ascii="Arial" w:hAnsi="Arial" w:cs="Arial"/>
                <w:sz w:val="16"/>
                <w:szCs w:val="16"/>
                <w:lang w:val="fr-CH"/>
              </w:rPr>
              <w:t>ʼ</w:t>
            </w:r>
            <w:r w:rsidRPr="00977110">
              <w:rPr>
                <w:sz w:val="16"/>
                <w:szCs w:val="16"/>
                <w:lang w:val="fr-CH"/>
              </w:rPr>
              <w:t>981)</w:t>
            </w:r>
            <w:r w:rsidRPr="00977110">
              <w:rPr>
                <w:sz w:val="16"/>
                <w:szCs w:val="16"/>
                <w:lang w:val="fr-CH"/>
              </w:rPr>
              <w:br/>
              <w:t>France (19</w:t>
            </w:r>
            <w:r w:rsidR="00783897">
              <w:rPr>
                <w:rFonts w:ascii="Arial" w:hAnsi="Arial" w:cs="Arial"/>
                <w:sz w:val="16"/>
                <w:szCs w:val="16"/>
                <w:lang w:val="fr-CH"/>
              </w:rPr>
              <w:t>ʼ</w:t>
            </w:r>
            <w:r w:rsidRPr="00977110">
              <w:rPr>
                <w:sz w:val="16"/>
                <w:szCs w:val="16"/>
                <w:lang w:val="fr-CH"/>
              </w:rPr>
              <w:t>311)</w:t>
            </w:r>
          </w:p>
        </w:tc>
      </w:tr>
      <w:tr w:rsidR="00DA3EC7" w:rsidRPr="006B2B03" w14:paraId="4D7709A5" w14:textId="77777777" w:rsidTr="0052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1C798377" w14:textId="22E3DEFE" w:rsidR="00DA3EC7" w:rsidRPr="00977110" w:rsidRDefault="00DA3EC7" w:rsidP="00DA3EC7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t>Importateurs</w:t>
            </w:r>
          </w:p>
        </w:tc>
        <w:tc>
          <w:tcPr>
            <w:tcW w:w="1278" w:type="pct"/>
          </w:tcPr>
          <w:p w14:paraId="7CB53069" w14:textId="45509B96" w:rsidR="00DA3EC7" w:rsidRPr="006B2B03" w:rsidRDefault="00DA3EC7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rFonts w:eastAsia="MS Mincho" w:cs="Times New Roman"/>
                <w:color w:val="000000"/>
                <w:sz w:val="16"/>
                <w:szCs w:val="16"/>
                <w:lang w:val="en-IE" w:eastAsia="x-none"/>
              </w:rPr>
              <w:t>7</w:t>
            </w:r>
            <w:r w:rsidR="00783897">
              <w:rPr>
                <w:rFonts w:ascii="Arial" w:eastAsia="MS Mincho" w:hAnsi="Arial" w:cs="Arial"/>
                <w:color w:val="000000"/>
                <w:sz w:val="16"/>
                <w:szCs w:val="16"/>
                <w:lang w:val="en-IE" w:eastAsia="x-none"/>
              </w:rPr>
              <w:t>ʼ</w:t>
            </w:r>
            <w:r w:rsidRPr="006B2B03">
              <w:rPr>
                <w:rFonts w:eastAsia="MS Mincho" w:cs="Times New Roman"/>
                <w:color w:val="000000"/>
                <w:sz w:val="16"/>
                <w:szCs w:val="16"/>
                <w:lang w:val="en-IE" w:eastAsia="x-none"/>
              </w:rPr>
              <w:t>609</w:t>
            </w:r>
          </w:p>
        </w:tc>
        <w:tc>
          <w:tcPr>
            <w:tcW w:w="1278" w:type="pct"/>
          </w:tcPr>
          <w:p w14:paraId="4E0F3796" w14:textId="4B9DE8D7" w:rsidR="00DA3EC7" w:rsidRPr="006B2B03" w:rsidRDefault="00DA3EC7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rFonts w:eastAsia="MS Mincho" w:cs="Times New Roman"/>
                <w:color w:val="000000"/>
                <w:sz w:val="16"/>
                <w:szCs w:val="16"/>
                <w:lang w:val="en-IE" w:eastAsia="x-none"/>
              </w:rPr>
              <w:t>6</w:t>
            </w:r>
            <w:r w:rsidR="00783897">
              <w:rPr>
                <w:rFonts w:ascii="Arial" w:eastAsia="MS Mincho" w:hAnsi="Arial" w:cs="Arial"/>
                <w:color w:val="000000"/>
                <w:sz w:val="16"/>
                <w:szCs w:val="16"/>
                <w:lang w:val="en-IE" w:eastAsia="x-none"/>
              </w:rPr>
              <w:t>ʼ</w:t>
            </w:r>
            <w:r w:rsidRPr="006B2B03">
              <w:rPr>
                <w:rFonts w:eastAsia="MS Mincho" w:cs="Times New Roman"/>
                <w:color w:val="000000"/>
                <w:sz w:val="16"/>
                <w:szCs w:val="16"/>
                <w:lang w:val="en-IE" w:eastAsia="x-none"/>
              </w:rPr>
              <w:t>450</w:t>
            </w:r>
          </w:p>
        </w:tc>
        <w:tc>
          <w:tcPr>
            <w:tcW w:w="1277" w:type="pct"/>
          </w:tcPr>
          <w:p w14:paraId="38D450AE" w14:textId="37286146" w:rsidR="00DA3EC7" w:rsidRPr="00977110" w:rsidRDefault="00DA3EC7" w:rsidP="00DA3EC7">
            <w:pPr>
              <w:pStyle w:val="woa-table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  <w:lang w:val="fr-CH"/>
              </w:rPr>
            </w:pPr>
            <w:r w:rsidRPr="00977110">
              <w:rPr>
                <w:color w:val="auto"/>
                <w:sz w:val="16"/>
                <w:szCs w:val="16"/>
                <w:lang w:val="fr-CH"/>
              </w:rPr>
              <w:t>Allemagne (1</w:t>
            </w:r>
            <w:r w:rsidR="00783897">
              <w:rPr>
                <w:rFonts w:ascii="Arial" w:hAnsi="Arial" w:cs="Arial"/>
                <w:color w:val="auto"/>
                <w:sz w:val="16"/>
                <w:szCs w:val="16"/>
                <w:lang w:val="fr-CH"/>
              </w:rPr>
              <w:t>ʼ</w:t>
            </w:r>
            <w:r w:rsidRPr="00977110">
              <w:rPr>
                <w:color w:val="auto"/>
                <w:sz w:val="16"/>
                <w:szCs w:val="16"/>
                <w:lang w:val="fr-CH"/>
              </w:rPr>
              <w:t xml:space="preserve">944) </w:t>
            </w:r>
            <w:r w:rsidRPr="00977110">
              <w:rPr>
                <w:color w:val="auto"/>
                <w:sz w:val="16"/>
                <w:szCs w:val="16"/>
                <w:lang w:val="fr-CH"/>
              </w:rPr>
              <w:br/>
              <w:t>Suisse (687)</w:t>
            </w:r>
          </w:p>
          <w:p w14:paraId="4427FF39" w14:textId="57A4AFD3" w:rsidR="00DA3EC7" w:rsidRPr="00977110" w:rsidRDefault="00DA3EC7" w:rsidP="00DA3EC7">
            <w:pPr>
              <w:pStyle w:val="woa-table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  <w:lang w:val="fr-CH"/>
              </w:rPr>
            </w:pPr>
            <w:r w:rsidRPr="00977110">
              <w:rPr>
                <w:color w:val="auto"/>
                <w:sz w:val="16"/>
                <w:szCs w:val="16"/>
                <w:lang w:val="fr-CH"/>
              </w:rPr>
              <w:t>France (662)</w:t>
            </w:r>
          </w:p>
        </w:tc>
      </w:tr>
      <w:tr w:rsidR="00DA3EC7" w:rsidRPr="002372C2" w14:paraId="16701312" w14:textId="77777777" w:rsidTr="0052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6AB9D3E8" w14:textId="68429BEC" w:rsidR="00DA3EC7" w:rsidRPr="00977110" w:rsidRDefault="00DA3EC7" w:rsidP="00DA3EC7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t xml:space="preserve">Chiffre </w:t>
            </w:r>
            <w:proofErr w:type="spellStart"/>
            <w:r w:rsidRPr="00977110">
              <w:rPr>
                <w:bCs w:val="0"/>
                <w:sz w:val="16"/>
                <w:szCs w:val="16"/>
                <w:lang w:val="fr-CH"/>
              </w:rPr>
              <w:t>d</w:t>
            </w:r>
            <w:r w:rsidR="00783897">
              <w:rPr>
                <w:rFonts w:ascii="Arial" w:hAnsi="Arial" w:cs="Arial"/>
                <w:bCs w:val="0"/>
                <w:sz w:val="16"/>
                <w:szCs w:val="16"/>
                <w:lang w:val="fr-CH"/>
              </w:rPr>
              <w:t>ʼ</w:t>
            </w:r>
            <w:r w:rsidRPr="00977110">
              <w:rPr>
                <w:bCs w:val="0"/>
                <w:sz w:val="16"/>
                <w:szCs w:val="16"/>
                <w:lang w:val="fr-CH"/>
              </w:rPr>
              <w:t>affaires</w:t>
            </w:r>
            <w:proofErr w:type="spellEnd"/>
            <w:r w:rsidRPr="00977110">
              <w:rPr>
                <w:bCs w:val="0"/>
                <w:sz w:val="16"/>
                <w:szCs w:val="16"/>
                <w:lang w:val="fr-CH"/>
              </w:rPr>
              <w:br/>
              <w:t xml:space="preserve"> du commerce de détail</w:t>
            </w:r>
          </w:p>
        </w:tc>
        <w:tc>
          <w:tcPr>
            <w:tcW w:w="1278" w:type="pct"/>
          </w:tcPr>
          <w:p w14:paraId="76036ABB" w14:textId="576DC34E" w:rsidR="00DA3EC7" w:rsidRPr="006B2B03" w:rsidRDefault="00DA3EC7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53</w:t>
            </w:r>
            <w:r w:rsidR="00333166">
              <w:rPr>
                <w:sz w:val="16"/>
                <w:szCs w:val="16"/>
                <w:lang w:val="fr-CH"/>
              </w:rPr>
              <w:t>,</w:t>
            </w:r>
            <w:r w:rsidRPr="006B2B03">
              <w:rPr>
                <w:sz w:val="16"/>
                <w:szCs w:val="16"/>
                <w:lang w:val="fr-CH"/>
              </w:rPr>
              <w:t>1</w:t>
            </w:r>
            <w:r w:rsidR="00333166">
              <w:rPr>
                <w:sz w:val="16"/>
                <w:szCs w:val="16"/>
                <w:lang w:val="fr-CH"/>
              </w:rPr>
              <w:t> </w:t>
            </w:r>
            <w:r w:rsidRPr="006B2B03">
              <w:rPr>
                <w:sz w:val="16"/>
                <w:szCs w:val="16"/>
                <w:lang w:val="fr-CH"/>
              </w:rPr>
              <w:t xml:space="preserve">milliards </w:t>
            </w:r>
            <w:proofErr w:type="spellStart"/>
            <w:r w:rsidRPr="006B2B03">
              <w:rPr>
                <w:sz w:val="16"/>
                <w:szCs w:val="16"/>
                <w:lang w:val="fr-CH"/>
              </w:rPr>
              <w:t>d</w:t>
            </w:r>
            <w:r w:rsidR="00783897">
              <w:rPr>
                <w:rFonts w:ascii="Arial" w:hAnsi="Arial" w:cs="Arial"/>
                <w:sz w:val="16"/>
                <w:szCs w:val="16"/>
                <w:lang w:val="fr-CH"/>
              </w:rPr>
              <w:t>ʼ</w:t>
            </w:r>
            <w:r w:rsidRPr="006B2B03">
              <w:rPr>
                <w:sz w:val="16"/>
                <w:szCs w:val="16"/>
                <w:lang w:val="fr-CH"/>
              </w:rPr>
              <w:t>euros</w:t>
            </w:r>
            <w:proofErr w:type="spellEnd"/>
          </w:p>
        </w:tc>
        <w:tc>
          <w:tcPr>
            <w:tcW w:w="1278" w:type="pct"/>
          </w:tcPr>
          <w:p w14:paraId="7C228702" w14:textId="46A3DEB9" w:rsidR="00DA3EC7" w:rsidRPr="006B2B03" w:rsidRDefault="00DA3EC7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45,1</w:t>
            </w:r>
            <w:r w:rsidR="00333166">
              <w:rPr>
                <w:sz w:val="16"/>
                <w:szCs w:val="16"/>
                <w:lang w:val="fr-CH"/>
              </w:rPr>
              <w:t> </w:t>
            </w:r>
            <w:r w:rsidRPr="006B2B03">
              <w:rPr>
                <w:sz w:val="16"/>
                <w:szCs w:val="16"/>
                <w:lang w:val="fr-CH"/>
              </w:rPr>
              <w:t xml:space="preserve">milliards </w:t>
            </w:r>
            <w:proofErr w:type="spellStart"/>
            <w:r w:rsidRPr="006B2B03">
              <w:rPr>
                <w:sz w:val="16"/>
                <w:szCs w:val="16"/>
                <w:lang w:val="fr-CH"/>
              </w:rPr>
              <w:t>d</w:t>
            </w:r>
            <w:r w:rsidR="00783897">
              <w:rPr>
                <w:rFonts w:ascii="Arial" w:hAnsi="Arial" w:cs="Arial"/>
                <w:sz w:val="16"/>
                <w:szCs w:val="16"/>
                <w:lang w:val="fr-CH"/>
              </w:rPr>
              <w:t>ʼ</w:t>
            </w:r>
            <w:r w:rsidRPr="006B2B03">
              <w:rPr>
                <w:sz w:val="16"/>
                <w:szCs w:val="16"/>
                <w:lang w:val="fr-CH"/>
              </w:rPr>
              <w:t>euros</w:t>
            </w:r>
            <w:proofErr w:type="spellEnd"/>
          </w:p>
        </w:tc>
        <w:tc>
          <w:tcPr>
            <w:tcW w:w="1277" w:type="pct"/>
          </w:tcPr>
          <w:p w14:paraId="53A25A53" w14:textId="4C92DB91" w:rsidR="00DA3EC7" w:rsidRPr="00977110" w:rsidRDefault="00DA3EC7" w:rsidP="00DA3EC7">
            <w:pPr>
              <w:pStyle w:val="woa-table-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color w:val="auto"/>
                <w:sz w:val="16"/>
                <w:szCs w:val="16"/>
                <w:lang w:val="fr-CH"/>
              </w:rPr>
              <w:t xml:space="preserve">Allemagne (15,3 milliards </w:t>
            </w:r>
            <w:proofErr w:type="spellStart"/>
            <w:r w:rsidRPr="00977110">
              <w:rPr>
                <w:color w:val="auto"/>
                <w:sz w:val="16"/>
                <w:szCs w:val="16"/>
                <w:lang w:val="fr-CH"/>
              </w:rPr>
              <w:t>d</w:t>
            </w:r>
            <w:r w:rsidR="00783897">
              <w:rPr>
                <w:rFonts w:ascii="Arial" w:hAnsi="Arial" w:cs="Arial"/>
                <w:color w:val="auto"/>
                <w:sz w:val="16"/>
                <w:szCs w:val="16"/>
                <w:lang w:val="fr-CH"/>
              </w:rPr>
              <w:t>ʼ</w:t>
            </w:r>
            <w:r w:rsidRPr="00977110">
              <w:rPr>
                <w:color w:val="auto"/>
                <w:sz w:val="16"/>
                <w:szCs w:val="16"/>
                <w:lang w:val="fr-CH"/>
              </w:rPr>
              <w:t>euros</w:t>
            </w:r>
            <w:proofErr w:type="spellEnd"/>
            <w:r w:rsidRPr="00977110">
              <w:rPr>
                <w:color w:val="auto"/>
                <w:sz w:val="16"/>
                <w:szCs w:val="16"/>
                <w:lang w:val="fr-CH"/>
              </w:rPr>
              <w:t>)</w:t>
            </w:r>
            <w:r w:rsidRPr="00977110">
              <w:rPr>
                <w:color w:val="auto"/>
                <w:sz w:val="16"/>
                <w:szCs w:val="16"/>
                <w:lang w:val="fr-CH"/>
              </w:rPr>
              <w:br/>
              <w:t>France (12,3</w:t>
            </w:r>
            <w:r w:rsidR="00333166">
              <w:rPr>
                <w:color w:val="auto"/>
                <w:sz w:val="16"/>
                <w:szCs w:val="16"/>
                <w:lang w:val="fr-CH"/>
              </w:rPr>
              <w:t> </w:t>
            </w:r>
            <w:r w:rsidRPr="00977110">
              <w:rPr>
                <w:color w:val="auto"/>
                <w:sz w:val="16"/>
                <w:szCs w:val="16"/>
                <w:lang w:val="fr-CH"/>
              </w:rPr>
              <w:t xml:space="preserve">milliards </w:t>
            </w:r>
            <w:proofErr w:type="spellStart"/>
            <w:r w:rsidRPr="00977110">
              <w:rPr>
                <w:color w:val="auto"/>
                <w:sz w:val="16"/>
                <w:szCs w:val="16"/>
                <w:lang w:val="fr-CH"/>
              </w:rPr>
              <w:t>d</w:t>
            </w:r>
            <w:r w:rsidR="00783897">
              <w:rPr>
                <w:rFonts w:ascii="Arial" w:hAnsi="Arial" w:cs="Arial"/>
                <w:color w:val="auto"/>
                <w:sz w:val="16"/>
                <w:szCs w:val="16"/>
                <w:lang w:val="fr-CH"/>
              </w:rPr>
              <w:t>ʼ</w:t>
            </w:r>
            <w:r w:rsidRPr="00977110">
              <w:rPr>
                <w:color w:val="auto"/>
                <w:sz w:val="16"/>
                <w:szCs w:val="16"/>
                <w:lang w:val="fr-CH"/>
              </w:rPr>
              <w:t>euros</w:t>
            </w:r>
            <w:proofErr w:type="spellEnd"/>
            <w:r w:rsidRPr="00977110">
              <w:rPr>
                <w:color w:val="auto"/>
                <w:sz w:val="16"/>
                <w:szCs w:val="16"/>
                <w:lang w:val="fr-CH"/>
              </w:rPr>
              <w:t>)</w:t>
            </w:r>
            <w:r w:rsidRPr="00977110">
              <w:rPr>
                <w:color w:val="auto"/>
                <w:sz w:val="16"/>
                <w:szCs w:val="16"/>
                <w:lang w:val="fr-CH"/>
              </w:rPr>
              <w:br/>
              <w:t>Italie (3,7</w:t>
            </w:r>
            <w:r w:rsidR="00333166">
              <w:rPr>
                <w:color w:val="auto"/>
                <w:sz w:val="16"/>
                <w:szCs w:val="16"/>
                <w:lang w:val="fr-CH"/>
              </w:rPr>
              <w:t> </w:t>
            </w:r>
            <w:r w:rsidRPr="00977110">
              <w:rPr>
                <w:color w:val="auto"/>
                <w:sz w:val="16"/>
                <w:szCs w:val="16"/>
                <w:lang w:val="fr-CH"/>
              </w:rPr>
              <w:t xml:space="preserve">milliards </w:t>
            </w:r>
            <w:proofErr w:type="spellStart"/>
            <w:r w:rsidRPr="00977110">
              <w:rPr>
                <w:color w:val="auto"/>
                <w:sz w:val="16"/>
                <w:szCs w:val="16"/>
                <w:lang w:val="fr-CH"/>
              </w:rPr>
              <w:t>d</w:t>
            </w:r>
            <w:r w:rsidR="00783897">
              <w:rPr>
                <w:rFonts w:ascii="Arial" w:hAnsi="Arial" w:cs="Arial"/>
                <w:color w:val="auto"/>
                <w:sz w:val="16"/>
                <w:szCs w:val="16"/>
                <w:lang w:val="fr-CH"/>
              </w:rPr>
              <w:t>ʼ</w:t>
            </w:r>
            <w:r w:rsidRPr="00977110">
              <w:rPr>
                <w:color w:val="auto"/>
                <w:sz w:val="16"/>
                <w:szCs w:val="16"/>
                <w:lang w:val="fr-CH"/>
              </w:rPr>
              <w:t>euros</w:t>
            </w:r>
            <w:proofErr w:type="spellEnd"/>
            <w:r w:rsidRPr="00977110">
              <w:rPr>
                <w:color w:val="auto"/>
                <w:sz w:val="16"/>
                <w:szCs w:val="16"/>
                <w:lang w:val="fr-CH"/>
              </w:rPr>
              <w:t>)</w:t>
            </w:r>
          </w:p>
        </w:tc>
      </w:tr>
      <w:tr w:rsidR="00DA3EC7" w:rsidRPr="006B2B03" w14:paraId="3FC34656" w14:textId="77777777" w:rsidTr="0052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6498691C" w14:textId="28BF5BC7" w:rsidR="00DA3EC7" w:rsidRPr="00977110" w:rsidRDefault="00333166" w:rsidP="00DA3EC7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>
              <w:rPr>
                <w:bCs w:val="0"/>
                <w:sz w:val="16"/>
                <w:szCs w:val="16"/>
                <w:lang w:val="fr-CH"/>
              </w:rPr>
              <w:t xml:space="preserve">Évolution </w:t>
            </w:r>
            <w:r w:rsidR="00DA3EC7" w:rsidRPr="00977110">
              <w:rPr>
                <w:bCs w:val="0"/>
                <w:sz w:val="16"/>
                <w:szCs w:val="16"/>
                <w:lang w:val="fr-CH"/>
              </w:rPr>
              <w:t>du commerce de détail</w:t>
            </w:r>
          </w:p>
        </w:tc>
        <w:tc>
          <w:tcPr>
            <w:tcW w:w="1278" w:type="pct"/>
          </w:tcPr>
          <w:p w14:paraId="460553A1" w14:textId="52D7A01A" w:rsidR="00DA3EC7" w:rsidRPr="006B2B03" w:rsidRDefault="00DA3EC7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-2</w:t>
            </w:r>
            <w:r w:rsidR="00333166">
              <w:rPr>
                <w:sz w:val="16"/>
                <w:szCs w:val="16"/>
                <w:lang w:val="fr-CH"/>
              </w:rPr>
              <w:t>,</w:t>
            </w:r>
            <w:r w:rsidRPr="006B2B03">
              <w:rPr>
                <w:sz w:val="16"/>
                <w:szCs w:val="16"/>
                <w:lang w:val="fr-CH"/>
              </w:rPr>
              <w:t>2%</w:t>
            </w:r>
          </w:p>
        </w:tc>
        <w:tc>
          <w:tcPr>
            <w:tcW w:w="1278" w:type="pct"/>
          </w:tcPr>
          <w:p w14:paraId="55661603" w14:textId="05F0F3B3" w:rsidR="00DA3EC7" w:rsidRPr="006B2B03" w:rsidRDefault="00DA3EC7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-2,8%</w:t>
            </w:r>
          </w:p>
        </w:tc>
        <w:tc>
          <w:tcPr>
            <w:tcW w:w="1277" w:type="pct"/>
          </w:tcPr>
          <w:p w14:paraId="486758B7" w14:textId="217B1C4C" w:rsidR="00DA3EC7" w:rsidRPr="00977110" w:rsidRDefault="00DA3EC7" w:rsidP="00DA3EC7">
            <w:pPr>
              <w:pStyle w:val="woa-table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  <w:lang w:val="fr-CH"/>
              </w:rPr>
            </w:pPr>
            <w:r w:rsidRPr="00977110">
              <w:rPr>
                <w:color w:val="auto"/>
                <w:sz w:val="16"/>
                <w:szCs w:val="16"/>
                <w:lang w:val="fr-CH"/>
              </w:rPr>
              <w:t>Estonie (6,0%)</w:t>
            </w:r>
            <w:r w:rsidRPr="00977110">
              <w:rPr>
                <w:color w:val="auto"/>
                <w:sz w:val="16"/>
                <w:szCs w:val="16"/>
                <w:lang w:val="fr-CH"/>
              </w:rPr>
              <w:br/>
              <w:t>Pays-Bas (4,4%)</w:t>
            </w:r>
            <w:r w:rsidRPr="00977110">
              <w:rPr>
                <w:color w:val="auto"/>
                <w:sz w:val="16"/>
                <w:szCs w:val="16"/>
                <w:lang w:val="fr-CH"/>
              </w:rPr>
              <w:br/>
              <w:t>Autriche (4,1%)</w:t>
            </w:r>
          </w:p>
        </w:tc>
      </w:tr>
      <w:tr w:rsidR="00DA3EC7" w:rsidRPr="006B2B03" w14:paraId="375AD5E9" w14:textId="77777777" w:rsidTr="0052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416E33A0" w14:textId="0474151E" w:rsidR="00DA3EC7" w:rsidRPr="00977110" w:rsidRDefault="00DA3EC7" w:rsidP="00DA3EC7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t>Part du marché bio</w:t>
            </w:r>
          </w:p>
        </w:tc>
        <w:tc>
          <w:tcPr>
            <w:tcW w:w="1278" w:type="pct"/>
          </w:tcPr>
          <w:p w14:paraId="3BBF478F" w14:textId="6E622C31" w:rsidR="00DA3EC7" w:rsidRPr="006B2B03" w:rsidRDefault="00DA3EC7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Aucune donnée</w:t>
            </w:r>
          </w:p>
        </w:tc>
        <w:tc>
          <w:tcPr>
            <w:tcW w:w="1278" w:type="pct"/>
          </w:tcPr>
          <w:p w14:paraId="342908E6" w14:textId="5F627C65" w:rsidR="00DA3EC7" w:rsidRPr="006B2B03" w:rsidRDefault="00DA3EC7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Aucune donnée</w:t>
            </w:r>
          </w:p>
        </w:tc>
        <w:tc>
          <w:tcPr>
            <w:tcW w:w="1277" w:type="pct"/>
          </w:tcPr>
          <w:p w14:paraId="25473221" w14:textId="389DD8CA" w:rsidR="00DA3EC7" w:rsidRPr="00977110" w:rsidRDefault="00DA3EC7" w:rsidP="00DA3EC7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>Danemark (12,0%)</w:t>
            </w:r>
            <w:r w:rsidRPr="00977110">
              <w:rPr>
                <w:sz w:val="16"/>
                <w:szCs w:val="16"/>
                <w:lang w:val="fr-CH"/>
              </w:rPr>
              <w:br/>
              <w:t>Autriche (11,5%)</w:t>
            </w:r>
            <w:r w:rsidRPr="00977110">
              <w:rPr>
                <w:sz w:val="16"/>
                <w:szCs w:val="16"/>
                <w:lang w:val="fr-CH"/>
              </w:rPr>
              <w:br/>
              <w:t>Suisse (11,2%)</w:t>
            </w:r>
          </w:p>
        </w:tc>
      </w:tr>
      <w:tr w:rsidR="00DA3EC7" w:rsidRPr="002372C2" w14:paraId="590BA3DE" w14:textId="77777777" w:rsidTr="0052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32CD0EC8" w14:textId="0B992376" w:rsidR="00DA3EC7" w:rsidRPr="00977110" w:rsidRDefault="00DA3EC7" w:rsidP="00DA3EC7">
            <w:pPr>
              <w:spacing w:beforeLines="20" w:before="48" w:afterLines="20" w:after="48"/>
              <w:rPr>
                <w:bCs w:val="0"/>
                <w:sz w:val="16"/>
                <w:szCs w:val="16"/>
                <w:lang w:val="fr-CH"/>
              </w:rPr>
            </w:pPr>
            <w:r w:rsidRPr="00977110">
              <w:rPr>
                <w:bCs w:val="0"/>
                <w:sz w:val="16"/>
                <w:szCs w:val="16"/>
                <w:lang w:val="fr-CH"/>
              </w:rPr>
              <w:lastRenderedPageBreak/>
              <w:t xml:space="preserve">Consommation bio par </w:t>
            </w:r>
            <w:proofErr w:type="spellStart"/>
            <w:r w:rsidRPr="00977110">
              <w:rPr>
                <w:bCs w:val="0"/>
                <w:sz w:val="16"/>
                <w:szCs w:val="16"/>
                <w:lang w:val="fr-CH"/>
              </w:rPr>
              <w:t>habitant</w:t>
            </w:r>
            <w:r w:rsidR="00333166">
              <w:rPr>
                <w:bCs w:val="0"/>
                <w:sz w:val="16"/>
                <w:szCs w:val="16"/>
                <w:lang w:val="fr-CH"/>
              </w:rPr>
              <w:t>·e</w:t>
            </w:r>
            <w:proofErr w:type="spellEnd"/>
            <w:r w:rsidRPr="00977110">
              <w:rPr>
                <w:bCs w:val="0"/>
                <w:sz w:val="16"/>
                <w:szCs w:val="16"/>
                <w:lang w:val="fr-CH"/>
              </w:rPr>
              <w:t xml:space="preserve"> en 2022</w:t>
            </w:r>
          </w:p>
        </w:tc>
        <w:tc>
          <w:tcPr>
            <w:tcW w:w="1278" w:type="pct"/>
          </w:tcPr>
          <w:p w14:paraId="7FBCDEE7" w14:textId="2DF1D733" w:rsidR="00DA3EC7" w:rsidRPr="006B2B03" w:rsidRDefault="00DA3EC7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50 euros</w:t>
            </w:r>
          </w:p>
        </w:tc>
        <w:tc>
          <w:tcPr>
            <w:tcW w:w="1278" w:type="pct"/>
          </w:tcPr>
          <w:p w14:paraId="0BC0325E" w14:textId="2C95B226" w:rsidR="00DA3EC7" w:rsidRPr="006B2B03" w:rsidRDefault="00DA3EC7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6B2B03">
              <w:rPr>
                <w:sz w:val="16"/>
                <w:szCs w:val="16"/>
                <w:lang w:val="fr-CH"/>
              </w:rPr>
              <w:t>102 euros</w:t>
            </w:r>
          </w:p>
        </w:tc>
        <w:tc>
          <w:tcPr>
            <w:tcW w:w="1277" w:type="pct"/>
          </w:tcPr>
          <w:p w14:paraId="6758E9BB" w14:textId="7874EB9E" w:rsidR="00DA3EC7" w:rsidRPr="00977110" w:rsidRDefault="00DA3EC7" w:rsidP="00DA3EC7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>Suisse (437</w:t>
            </w:r>
            <w:r w:rsidR="00333166">
              <w:rPr>
                <w:sz w:val="16"/>
                <w:szCs w:val="16"/>
                <w:lang w:val="fr-CH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>euros)</w:t>
            </w:r>
            <w:r w:rsidRPr="00977110">
              <w:rPr>
                <w:sz w:val="16"/>
                <w:szCs w:val="16"/>
                <w:lang w:val="fr-CH"/>
              </w:rPr>
              <w:br/>
              <w:t>Danemark (365</w:t>
            </w:r>
            <w:r w:rsidR="00333166">
              <w:rPr>
                <w:sz w:val="16"/>
                <w:szCs w:val="16"/>
                <w:lang w:val="fr-CH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>euros)</w:t>
            </w:r>
            <w:r w:rsidRPr="00977110">
              <w:rPr>
                <w:sz w:val="16"/>
                <w:szCs w:val="16"/>
                <w:lang w:val="fr-CH"/>
              </w:rPr>
              <w:br/>
              <w:t>Autriche (274</w:t>
            </w:r>
            <w:r w:rsidR="00333166">
              <w:rPr>
                <w:sz w:val="16"/>
                <w:szCs w:val="16"/>
                <w:lang w:val="fr-CH"/>
              </w:rPr>
              <w:t> euros</w:t>
            </w:r>
            <w:r w:rsidRPr="00977110">
              <w:rPr>
                <w:sz w:val="16"/>
                <w:szCs w:val="16"/>
                <w:lang w:val="fr-CH"/>
              </w:rPr>
              <w:t>)</w:t>
            </w:r>
          </w:p>
        </w:tc>
      </w:tr>
      <w:tr w:rsidR="00DA3EC7" w:rsidRPr="002372C2" w14:paraId="1F60EF79" w14:textId="77777777" w:rsidTr="0052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2F47A783" w14:textId="0B5171D9" w:rsidR="00DA3EC7" w:rsidRPr="00977110" w:rsidRDefault="00047F0B" w:rsidP="00DA3EC7">
            <w:pPr>
              <w:spacing w:beforeLines="20" w:before="48" w:afterLines="20" w:after="48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Importations</w:t>
            </w:r>
            <w:r w:rsidR="00DA3EC7" w:rsidRPr="00977110">
              <w:rPr>
                <w:sz w:val="16"/>
                <w:szCs w:val="16"/>
                <w:lang w:val="fr-CH"/>
              </w:rPr>
              <w:t xml:space="preserve"> </w:t>
            </w:r>
            <w:r>
              <w:rPr>
                <w:sz w:val="16"/>
                <w:szCs w:val="16"/>
                <w:lang w:val="fr-CH"/>
              </w:rPr>
              <w:t>bio de</w:t>
            </w:r>
            <w:r w:rsidR="00333166">
              <w:rPr>
                <w:sz w:val="16"/>
                <w:szCs w:val="16"/>
                <w:lang w:val="fr-CH"/>
              </w:rPr>
              <w:t xml:space="preserve"> </w:t>
            </w:r>
            <w:proofErr w:type="spellStart"/>
            <w:r w:rsidR="00333166">
              <w:rPr>
                <w:sz w:val="16"/>
                <w:szCs w:val="16"/>
                <w:lang w:val="fr-CH"/>
              </w:rPr>
              <w:t>l</w:t>
            </w:r>
            <w:r w:rsidR="00783897">
              <w:rPr>
                <w:rFonts w:ascii="Arial" w:hAnsi="Arial" w:cs="Arial"/>
                <w:sz w:val="16"/>
                <w:szCs w:val="16"/>
                <w:lang w:val="fr-CH"/>
              </w:rPr>
              <w:t>ʼ</w:t>
            </w:r>
            <w:r w:rsidR="00DA3EC7" w:rsidRPr="00977110">
              <w:rPr>
                <w:sz w:val="16"/>
                <w:szCs w:val="16"/>
                <w:lang w:val="fr-CH"/>
              </w:rPr>
              <w:t>UE</w:t>
            </w:r>
            <w:proofErr w:type="spellEnd"/>
          </w:p>
        </w:tc>
        <w:tc>
          <w:tcPr>
            <w:tcW w:w="1278" w:type="pct"/>
          </w:tcPr>
          <w:p w14:paraId="6AF2103F" w14:textId="77777777" w:rsidR="00DA3EC7" w:rsidRPr="006B2B03" w:rsidRDefault="00DA3EC7" w:rsidP="00DA3EC7">
            <w:pPr>
              <w:spacing w:beforeLines="20" w:before="48" w:afterLines="20" w:after="4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</w:p>
        </w:tc>
        <w:tc>
          <w:tcPr>
            <w:tcW w:w="1278" w:type="pct"/>
          </w:tcPr>
          <w:p w14:paraId="636641E9" w14:textId="5CDC7733" w:rsidR="00DA3EC7" w:rsidRPr="00977110" w:rsidRDefault="00DA3EC7" w:rsidP="00A121E4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>2,73</w:t>
            </w:r>
            <w:r w:rsidR="00333166">
              <w:rPr>
                <w:sz w:val="16"/>
                <w:szCs w:val="16"/>
                <w:lang w:val="fr-CH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>millions de tonnes</w:t>
            </w:r>
          </w:p>
        </w:tc>
        <w:tc>
          <w:tcPr>
            <w:tcW w:w="1277" w:type="pct"/>
          </w:tcPr>
          <w:p w14:paraId="64FB7FC1" w14:textId="40CA7380" w:rsidR="00DA3EC7" w:rsidRPr="00977110" w:rsidRDefault="00DA3EC7" w:rsidP="00DA3EC7">
            <w:pPr>
              <w:spacing w:beforeLines="20" w:before="48" w:afterLines="20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>Pays-Bas (0,99</w:t>
            </w:r>
            <w:r w:rsidR="00333166">
              <w:rPr>
                <w:sz w:val="16"/>
                <w:szCs w:val="16"/>
                <w:lang w:val="fr-CH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 xml:space="preserve">million </w:t>
            </w:r>
            <w:r w:rsidR="00333166">
              <w:rPr>
                <w:sz w:val="16"/>
                <w:szCs w:val="16"/>
                <w:lang w:val="fr-CH"/>
              </w:rPr>
              <w:t>de tonnes</w:t>
            </w:r>
            <w:proofErr w:type="gramStart"/>
            <w:r w:rsidRPr="00977110">
              <w:rPr>
                <w:sz w:val="16"/>
                <w:szCs w:val="16"/>
                <w:lang w:val="fr-CH"/>
              </w:rPr>
              <w:t>);</w:t>
            </w:r>
            <w:proofErr w:type="gramEnd"/>
            <w:r w:rsidRPr="00977110">
              <w:rPr>
                <w:sz w:val="16"/>
                <w:szCs w:val="16"/>
                <w:lang w:val="fr-CH"/>
              </w:rPr>
              <w:t xml:space="preserve"> Allemagne (0,45</w:t>
            </w:r>
            <w:r w:rsidR="00333166">
              <w:rPr>
                <w:sz w:val="16"/>
                <w:szCs w:val="16"/>
                <w:lang w:val="fr-CH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 xml:space="preserve">million </w:t>
            </w:r>
            <w:r w:rsidR="00333166">
              <w:rPr>
                <w:sz w:val="16"/>
                <w:szCs w:val="16"/>
                <w:lang w:val="fr-CH"/>
              </w:rPr>
              <w:t>de tonnes</w:t>
            </w:r>
            <w:r w:rsidRPr="00977110">
              <w:rPr>
                <w:sz w:val="16"/>
                <w:szCs w:val="16"/>
                <w:lang w:val="fr-CH"/>
              </w:rPr>
              <w:t>); France (0,27</w:t>
            </w:r>
            <w:r w:rsidR="00333166">
              <w:rPr>
                <w:sz w:val="16"/>
                <w:szCs w:val="16"/>
                <w:lang w:val="fr-CH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 xml:space="preserve">million </w:t>
            </w:r>
            <w:r w:rsidR="00333166">
              <w:rPr>
                <w:sz w:val="16"/>
                <w:szCs w:val="16"/>
                <w:lang w:val="fr-CH"/>
              </w:rPr>
              <w:t xml:space="preserve">de </w:t>
            </w:r>
            <w:r w:rsidR="005F4493">
              <w:rPr>
                <w:sz w:val="16"/>
                <w:szCs w:val="16"/>
                <w:lang w:val="fr-CH"/>
              </w:rPr>
              <w:t>t</w:t>
            </w:r>
            <w:r w:rsidR="00333166">
              <w:rPr>
                <w:sz w:val="16"/>
                <w:szCs w:val="16"/>
                <w:lang w:val="fr-CH"/>
              </w:rPr>
              <w:t>onnes</w:t>
            </w:r>
            <w:r w:rsidRPr="00977110">
              <w:rPr>
                <w:sz w:val="16"/>
                <w:szCs w:val="16"/>
                <w:lang w:val="fr-CH"/>
              </w:rPr>
              <w:t>)</w:t>
            </w:r>
          </w:p>
        </w:tc>
      </w:tr>
      <w:tr w:rsidR="00DA3EC7" w:rsidRPr="002372C2" w14:paraId="39822B45" w14:textId="77777777" w:rsidTr="0052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79BF8BC1" w14:textId="05A19D71" w:rsidR="00DA3EC7" w:rsidRPr="00977110" w:rsidRDefault="00047F0B" w:rsidP="00DA3EC7">
            <w:pPr>
              <w:spacing w:beforeLines="20" w:before="48" w:afterLines="20" w:after="48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Exportations vers</w:t>
            </w:r>
            <w:r w:rsidR="00DA3EC7" w:rsidRPr="00977110">
              <w:rPr>
                <w:sz w:val="16"/>
                <w:szCs w:val="16"/>
                <w:lang w:val="fr-CH"/>
              </w:rPr>
              <w:t xml:space="preserve"> </w:t>
            </w:r>
            <w:proofErr w:type="spellStart"/>
            <w:r w:rsidR="00DA3EC7" w:rsidRPr="00977110">
              <w:rPr>
                <w:sz w:val="16"/>
                <w:szCs w:val="16"/>
                <w:lang w:val="fr-CH"/>
              </w:rPr>
              <w:t>l</w:t>
            </w:r>
            <w:r w:rsidR="00783897">
              <w:rPr>
                <w:rFonts w:ascii="Arial" w:hAnsi="Arial" w:cs="Arial"/>
                <w:sz w:val="16"/>
                <w:szCs w:val="16"/>
                <w:lang w:val="fr-CH"/>
              </w:rPr>
              <w:t>ʼ</w:t>
            </w:r>
            <w:r w:rsidR="00DA3EC7" w:rsidRPr="00977110">
              <w:rPr>
                <w:sz w:val="16"/>
                <w:szCs w:val="16"/>
                <w:lang w:val="fr-CH"/>
              </w:rPr>
              <w:t>UE</w:t>
            </w:r>
            <w:proofErr w:type="spellEnd"/>
          </w:p>
        </w:tc>
        <w:tc>
          <w:tcPr>
            <w:tcW w:w="1278" w:type="pct"/>
          </w:tcPr>
          <w:p w14:paraId="44615596" w14:textId="77777777" w:rsidR="00DA3EC7" w:rsidRPr="006B2B03" w:rsidRDefault="00DA3EC7" w:rsidP="00DA3EC7">
            <w:pPr>
              <w:spacing w:beforeLines="20" w:before="48" w:afterLines="20" w:after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</w:p>
        </w:tc>
        <w:tc>
          <w:tcPr>
            <w:tcW w:w="1278" w:type="pct"/>
          </w:tcPr>
          <w:p w14:paraId="651D39AD" w14:textId="7CFA0FE4" w:rsidR="00DA3EC7" w:rsidRPr="00977110" w:rsidRDefault="00DA3EC7" w:rsidP="00A121E4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>Bananes (0,71</w:t>
            </w:r>
            <w:r w:rsidR="00047F0B" w:rsidRPr="00047F0B">
              <w:rPr>
                <w:sz w:val="16"/>
                <w:szCs w:val="16"/>
                <w:lang w:val="fr-FR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 xml:space="preserve">million </w:t>
            </w:r>
            <w:r w:rsidR="00047F0B">
              <w:rPr>
                <w:sz w:val="16"/>
                <w:szCs w:val="16"/>
                <w:lang w:val="fr-CH"/>
              </w:rPr>
              <w:t>de tonnes</w:t>
            </w:r>
            <w:r w:rsidRPr="00977110">
              <w:rPr>
                <w:sz w:val="16"/>
                <w:szCs w:val="16"/>
                <w:lang w:val="fr-CH"/>
              </w:rPr>
              <w:t>)</w:t>
            </w:r>
            <w:r w:rsidR="00A121E4">
              <w:rPr>
                <w:sz w:val="16"/>
                <w:szCs w:val="16"/>
                <w:lang w:val="fr-CH"/>
              </w:rPr>
              <w:t xml:space="preserve"> ; </w:t>
            </w:r>
            <w:r w:rsidR="00047F0B">
              <w:rPr>
                <w:sz w:val="16"/>
                <w:szCs w:val="16"/>
                <w:lang w:val="fr-CH"/>
              </w:rPr>
              <w:t>tourteaux</w:t>
            </w:r>
            <w:r w:rsidRPr="00977110">
              <w:rPr>
                <w:sz w:val="16"/>
                <w:szCs w:val="16"/>
                <w:lang w:val="fr-CH"/>
              </w:rPr>
              <w:t xml:space="preserve"> (0,23million </w:t>
            </w:r>
            <w:r w:rsidR="00047F0B">
              <w:rPr>
                <w:sz w:val="16"/>
                <w:szCs w:val="16"/>
                <w:lang w:val="fr-CH"/>
              </w:rPr>
              <w:t>de tonnes</w:t>
            </w:r>
            <w:r w:rsidRPr="00977110">
              <w:rPr>
                <w:sz w:val="16"/>
                <w:szCs w:val="16"/>
                <w:lang w:val="fr-CH"/>
              </w:rPr>
              <w:t>)</w:t>
            </w:r>
            <w:r w:rsidR="00A121E4">
              <w:rPr>
                <w:sz w:val="16"/>
                <w:szCs w:val="16"/>
                <w:lang w:val="fr-CH"/>
              </w:rPr>
              <w:t> ; s</w:t>
            </w:r>
            <w:r w:rsidRPr="00977110">
              <w:rPr>
                <w:sz w:val="16"/>
                <w:szCs w:val="16"/>
                <w:lang w:val="fr-CH"/>
              </w:rPr>
              <w:t>oja (0,19</w:t>
            </w:r>
            <w:r w:rsidR="00047F0B">
              <w:rPr>
                <w:sz w:val="16"/>
                <w:szCs w:val="16"/>
                <w:lang w:val="fr-CH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>millio</w:t>
            </w:r>
            <w:r w:rsidR="00047F0B">
              <w:rPr>
                <w:sz w:val="16"/>
                <w:szCs w:val="16"/>
                <w:lang w:val="fr-CH"/>
              </w:rPr>
              <w:t>n de tonnes</w:t>
            </w:r>
            <w:r w:rsidRPr="00977110">
              <w:rPr>
                <w:sz w:val="16"/>
                <w:szCs w:val="16"/>
                <w:lang w:val="fr-CH"/>
              </w:rPr>
              <w:t>)</w:t>
            </w:r>
          </w:p>
        </w:tc>
        <w:tc>
          <w:tcPr>
            <w:tcW w:w="1277" w:type="pct"/>
          </w:tcPr>
          <w:p w14:paraId="2D3A880D" w14:textId="7BA18E86" w:rsidR="00DA3EC7" w:rsidRPr="006B2B03" w:rsidRDefault="00DA3EC7" w:rsidP="00DA3EC7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  <w:lang w:val="fr-CH"/>
              </w:rPr>
            </w:pPr>
            <w:r w:rsidRPr="00977110">
              <w:rPr>
                <w:sz w:val="16"/>
                <w:szCs w:val="16"/>
                <w:lang w:val="fr-CH"/>
              </w:rPr>
              <w:t>Équateur (0,35</w:t>
            </w:r>
            <w:r w:rsidR="00047F0B">
              <w:rPr>
                <w:sz w:val="16"/>
                <w:szCs w:val="16"/>
                <w:lang w:val="fr-CH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 xml:space="preserve">million </w:t>
            </w:r>
            <w:r w:rsidR="00047F0B">
              <w:rPr>
                <w:sz w:val="16"/>
                <w:szCs w:val="16"/>
                <w:lang w:val="fr-CH"/>
              </w:rPr>
              <w:t>de tonnes</w:t>
            </w:r>
            <w:proofErr w:type="gramStart"/>
            <w:r w:rsidRPr="00977110">
              <w:rPr>
                <w:sz w:val="16"/>
                <w:szCs w:val="16"/>
                <w:lang w:val="fr-CH"/>
              </w:rPr>
              <w:t>);</w:t>
            </w:r>
            <w:proofErr w:type="gramEnd"/>
            <w:r w:rsidRPr="00977110">
              <w:rPr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977110">
              <w:rPr>
                <w:sz w:val="16"/>
                <w:szCs w:val="16"/>
                <w:lang w:val="fr-CH"/>
              </w:rPr>
              <w:t>Rép</w:t>
            </w:r>
            <w:proofErr w:type="spellEnd"/>
            <w:r w:rsidRPr="00977110">
              <w:rPr>
                <w:sz w:val="16"/>
                <w:szCs w:val="16"/>
                <w:lang w:val="fr-CH"/>
              </w:rPr>
              <w:t>. Dom. (0,25</w:t>
            </w:r>
            <w:r w:rsidR="00047F0B">
              <w:rPr>
                <w:sz w:val="16"/>
                <w:szCs w:val="16"/>
                <w:lang w:val="fr-CH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 xml:space="preserve">million </w:t>
            </w:r>
            <w:r w:rsidR="00047F0B">
              <w:rPr>
                <w:sz w:val="16"/>
                <w:szCs w:val="16"/>
                <w:lang w:val="fr-CH"/>
              </w:rPr>
              <w:t>de tonnes</w:t>
            </w:r>
            <w:proofErr w:type="gramStart"/>
            <w:r w:rsidRPr="00977110">
              <w:rPr>
                <w:sz w:val="16"/>
                <w:szCs w:val="16"/>
                <w:lang w:val="fr-CH"/>
              </w:rPr>
              <w:t>);</w:t>
            </w:r>
            <w:proofErr w:type="gramEnd"/>
            <w:r w:rsidRPr="00977110">
              <w:rPr>
                <w:sz w:val="16"/>
                <w:szCs w:val="16"/>
                <w:lang w:val="fr-CH"/>
              </w:rPr>
              <w:t xml:space="preserve"> Ukraine (0,22</w:t>
            </w:r>
            <w:r w:rsidR="00047F0B">
              <w:rPr>
                <w:sz w:val="16"/>
                <w:szCs w:val="16"/>
                <w:lang w:val="fr-CH"/>
              </w:rPr>
              <w:t> </w:t>
            </w:r>
            <w:r w:rsidRPr="00977110">
              <w:rPr>
                <w:sz w:val="16"/>
                <w:szCs w:val="16"/>
                <w:lang w:val="fr-CH"/>
              </w:rPr>
              <w:t xml:space="preserve">million </w:t>
            </w:r>
            <w:r w:rsidR="00047F0B">
              <w:rPr>
                <w:sz w:val="16"/>
                <w:szCs w:val="16"/>
                <w:lang w:val="fr-CH"/>
              </w:rPr>
              <w:t>de tonnes</w:t>
            </w:r>
            <w:r w:rsidRPr="00977110">
              <w:rPr>
                <w:sz w:val="16"/>
                <w:szCs w:val="16"/>
                <w:lang w:val="fr-CH"/>
              </w:rPr>
              <w:t>);</w:t>
            </w:r>
          </w:p>
        </w:tc>
      </w:tr>
    </w:tbl>
    <w:p w14:paraId="2E9A5BEF" w14:textId="225196EF" w:rsidR="00EB6B1C" w:rsidRPr="00D039AA" w:rsidRDefault="00D039AA" w:rsidP="00D039AA">
      <w:pPr>
        <w:pStyle w:val="FiBLmrstandard"/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</w:pPr>
      <w:proofErr w:type="gramStart"/>
      <w:r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>Source</w:t>
      </w:r>
      <w:r w:rsidR="00FA25B6"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>:</w:t>
      </w:r>
      <w:proofErr w:type="gramEnd"/>
      <w:r w:rsidR="00FA25B6"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 xml:space="preserve"> </w:t>
      </w:r>
      <w:r w:rsidR="00F157E2"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 xml:space="preserve">enquête </w:t>
      </w:r>
      <w:r w:rsidR="006D7225"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>réalisée conjointement par le</w:t>
      </w:r>
      <w:r w:rsidR="00F157E2"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 xml:space="preserve"> FiBL et </w:t>
      </w:r>
      <w:proofErr w:type="spellStart"/>
      <w:r w:rsidR="00F157E2"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>l</w:t>
      </w:r>
      <w:r w:rsidR="00783897">
        <w:rPr>
          <w:rStyle w:val="SchwacherVerweis"/>
          <w:rFonts w:ascii="Arial" w:hAnsi="Arial" w:cs="Arial"/>
          <w:i/>
          <w:smallCaps w:val="0"/>
          <w:color w:val="auto"/>
          <w:sz w:val="20"/>
          <w:lang w:val="fr-CH"/>
        </w:rPr>
        <w:t>ʼ</w:t>
      </w:r>
      <w:r w:rsidR="00F157E2"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>AMI</w:t>
      </w:r>
      <w:proofErr w:type="spellEnd"/>
      <w:r w:rsidR="00FA25B6"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 xml:space="preserve"> </w:t>
      </w:r>
      <w:r w:rsidR="006D7225"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 xml:space="preserve">en </w:t>
      </w:r>
      <w:r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>20</w:t>
      </w:r>
      <w:r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>24</w:t>
      </w:r>
      <w:r w:rsidR="00047F0B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 xml:space="preserve">. Pour plus de détails, voir </w:t>
      </w:r>
      <w:proofErr w:type="spellStart"/>
      <w:r w:rsidR="00047F0B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>l</w:t>
      </w:r>
      <w:r w:rsidR="00783897">
        <w:rPr>
          <w:rStyle w:val="SchwacherVerweis"/>
          <w:rFonts w:ascii="Arial" w:hAnsi="Arial" w:cs="Arial"/>
          <w:i/>
          <w:smallCaps w:val="0"/>
          <w:color w:val="auto"/>
          <w:sz w:val="20"/>
          <w:lang w:val="fr-CH"/>
        </w:rPr>
        <w:t>ʼ</w:t>
      </w:r>
      <w:r w:rsidR="00047F0B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>annexe</w:t>
      </w:r>
      <w:proofErr w:type="spellEnd"/>
      <w:r w:rsidR="00047F0B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>, page 335.</w:t>
      </w:r>
      <w:r w:rsidR="00B8078A" w:rsidRPr="00D039AA">
        <w:rPr>
          <w:rStyle w:val="SchwacherVerweis"/>
          <w:rFonts w:ascii="Gill Sans MT" w:hAnsi="Gill Sans MT"/>
          <w:i/>
          <w:smallCaps w:val="0"/>
          <w:color w:val="auto"/>
          <w:sz w:val="20"/>
          <w:lang w:val="fr-CH"/>
        </w:rPr>
        <w:t xml:space="preserve"> </w:t>
      </w:r>
    </w:p>
    <w:p w14:paraId="468EF42B" w14:textId="7539E86A" w:rsidR="00D039AA" w:rsidRDefault="00D039AA" w:rsidP="00770538">
      <w:pPr>
        <w:pStyle w:val="FiBLmrfooter"/>
        <w:rPr>
          <w:color w:val="auto"/>
          <w:lang w:val="fr-FR"/>
        </w:rPr>
      </w:pPr>
    </w:p>
    <w:p w14:paraId="49961FB2" w14:textId="77777777" w:rsidR="00D039AA" w:rsidRPr="00D71A45" w:rsidRDefault="00D039AA" w:rsidP="00770538">
      <w:pPr>
        <w:pStyle w:val="FiBLmrfooter"/>
        <w:rPr>
          <w:color w:val="auto"/>
          <w:lang w:val="fr-FR"/>
        </w:rPr>
      </w:pPr>
    </w:p>
    <w:p w14:paraId="72C5A2F5" w14:textId="77777777" w:rsidR="00EB6B1C" w:rsidRPr="00A04B53" w:rsidRDefault="00EB6B1C">
      <w:pPr>
        <w:rPr>
          <w:rFonts w:ascii="Palatino Linotype" w:hAnsi="Palatino Linotype"/>
          <w:lang w:val="fr-FR"/>
        </w:rPr>
      </w:pPr>
      <w:r w:rsidRPr="00A04B53">
        <w:rPr>
          <w:lang w:val="fr-FR"/>
        </w:rPr>
        <w:br w:type="page"/>
      </w:r>
    </w:p>
    <w:p w14:paraId="2309879E" w14:textId="77777777" w:rsidR="000641BB" w:rsidRPr="00B221D3" w:rsidRDefault="00E65F65" w:rsidP="000641BB">
      <w:pPr>
        <w:pStyle w:val="FiBLmrstandard"/>
      </w:pPr>
      <w:r>
        <w:rPr>
          <w:noProof/>
          <w:lang w:eastAsia="de-CH"/>
        </w:rPr>
        <w:lastRenderedPageBreak/>
        <w:drawing>
          <wp:inline distT="0" distB="0" distL="0" distR="0" wp14:anchorId="484C758F" wp14:editId="12602A6C">
            <wp:extent cx="7061538" cy="5400000"/>
            <wp:effectExtent l="0" t="7303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orld_of_Organic_Agriculture_Infographics_DE_2020_europe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61538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1BB" w:rsidRPr="00B221D3">
        <w:br w:type="page"/>
      </w:r>
    </w:p>
    <w:p w14:paraId="3FA4808E" w14:textId="77777777" w:rsidR="000641BB" w:rsidRPr="00B221D3" w:rsidRDefault="00680B5D" w:rsidP="000641BB">
      <w:pPr>
        <w:pStyle w:val="FiBLmrstandard"/>
      </w:pPr>
      <w:r>
        <w:rPr>
          <w:noProof/>
          <w:lang w:eastAsia="de-CH"/>
        </w:rPr>
        <w:lastRenderedPageBreak/>
        <w:drawing>
          <wp:inline distT="0" distB="0" distL="0" distR="0" wp14:anchorId="0E5561C6" wp14:editId="1E463B01">
            <wp:extent cx="7061538" cy="5400000"/>
            <wp:effectExtent l="0" t="7303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ld_of_Organic_Agriculture_Infographics_DE_2020_EU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61538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49E5B" w14:textId="77777777" w:rsidR="00FA25B6" w:rsidRPr="00B221D3" w:rsidRDefault="00FA25B6" w:rsidP="00EB6B1C">
      <w:pPr>
        <w:pStyle w:val="FiBLmrstandard"/>
      </w:pPr>
    </w:p>
    <w:p w14:paraId="719BC992" w14:textId="77777777" w:rsidR="00FA25B6" w:rsidRPr="00B221D3" w:rsidRDefault="00FA25B6" w:rsidP="00EB6B1C">
      <w:pPr>
        <w:pStyle w:val="FiBLmrstandard"/>
      </w:pPr>
    </w:p>
    <w:p w14:paraId="0090CEF1" w14:textId="77777777" w:rsidR="00566983" w:rsidRDefault="002D344B" w:rsidP="00EB6B1C">
      <w:pPr>
        <w:pStyle w:val="FiBLmrstandard"/>
      </w:pPr>
      <w:r>
        <w:rPr>
          <w:noProof/>
          <w:lang w:eastAsia="de-CH"/>
        </w:rPr>
        <w:lastRenderedPageBreak/>
        <w:drawing>
          <wp:inline distT="0" distB="0" distL="0" distR="0" wp14:anchorId="6DA86349" wp14:editId="5C307154">
            <wp:extent cx="7061537" cy="5400000"/>
            <wp:effectExtent l="0" t="7303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_Biolandwirtschaftsfläche_Europa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61537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FB26A" w14:textId="77777777" w:rsidR="002D344B" w:rsidRPr="00C21CF4" w:rsidRDefault="002D344B" w:rsidP="00EB6B1C">
      <w:pPr>
        <w:pStyle w:val="FiBLmrstandard"/>
      </w:pPr>
      <w:r>
        <w:rPr>
          <w:noProof/>
          <w:lang w:eastAsia="de-CH"/>
        </w:rPr>
        <w:lastRenderedPageBreak/>
        <w:drawing>
          <wp:inline distT="0" distB="0" distL="0" distR="0" wp14:anchorId="454392EC" wp14:editId="456A19D7">
            <wp:extent cx="7061538" cy="5400000"/>
            <wp:effectExtent l="0" t="7303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_Biolandwirtschaftsfläche_EU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61538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44B" w:rsidRPr="00C21CF4" w:rsidSect="00947D86">
      <w:footerReference w:type="default" r:id="rId27"/>
      <w:type w:val="continuous"/>
      <w:pgSz w:w="11906" w:h="16838" w:code="9"/>
      <w:pgMar w:top="2268" w:right="1701" w:bottom="1701" w:left="1701" w:header="113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5709B6" w16cex:dateUtc="2024-02-10T15:19:00Z"/>
  <w16cex:commentExtensible w16cex:durableId="5CD8F2AB" w16cex:dateUtc="2024-02-10T15:23:00Z"/>
  <w16cex:commentExtensible w16cex:durableId="24C7698A" w16cex:dateUtc="2024-02-10T15:36:00Z"/>
  <w16cex:commentExtensible w16cex:durableId="0041CDEA" w16cex:dateUtc="2024-02-10T1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F966C" w14:textId="77777777" w:rsidR="00EE17D1" w:rsidRDefault="00EE17D1" w:rsidP="00F53AA9">
      <w:pPr>
        <w:spacing w:after="0" w:line="240" w:lineRule="auto"/>
      </w:pPr>
      <w:r>
        <w:separator/>
      </w:r>
    </w:p>
  </w:endnote>
  <w:endnote w:type="continuationSeparator" w:id="0">
    <w:p w14:paraId="6BF089F3" w14:textId="77777777" w:rsidR="00EE17D1" w:rsidRDefault="00EE17D1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0A29B4" w:rsidRPr="006428B3" w14:paraId="20B7023E" w14:textId="77777777" w:rsidTr="00232993">
      <w:trPr>
        <w:trHeight w:val="508"/>
      </w:trPr>
      <w:tc>
        <w:tcPr>
          <w:tcW w:w="7656" w:type="dxa"/>
        </w:tcPr>
        <w:p w14:paraId="455F2CE1" w14:textId="7D7E0AB9" w:rsidR="000A29B4" w:rsidRPr="00FA3D68" w:rsidRDefault="000A29B4" w:rsidP="00DA14CE">
          <w:pPr>
            <w:pStyle w:val="FiBLmrfooter"/>
            <w:rPr>
              <w:lang w:val="fr-FR"/>
            </w:rPr>
          </w:pPr>
          <w:r w:rsidRPr="00FA3D68">
            <w:rPr>
              <w:lang w:val="fr-FR"/>
            </w:rPr>
            <w:t xml:space="preserve">Institut de recherche de </w:t>
          </w:r>
          <w:proofErr w:type="spellStart"/>
          <w:r w:rsidRPr="00FA3D68">
            <w:rPr>
              <w:lang w:val="fr-FR"/>
            </w:rPr>
            <w:t>l</w:t>
          </w:r>
          <w:r w:rsidR="00783897">
            <w:rPr>
              <w:rFonts w:ascii="Arial" w:hAnsi="Arial" w:cs="Arial"/>
              <w:lang w:val="fr-FR"/>
            </w:rPr>
            <w:t>ʼ</w:t>
          </w:r>
          <w:r w:rsidRPr="00FA3D68">
            <w:rPr>
              <w:lang w:val="fr-FR"/>
            </w:rPr>
            <w:t>agriculture</w:t>
          </w:r>
          <w:proofErr w:type="spellEnd"/>
          <w:r w:rsidRPr="00FA3D68">
            <w:rPr>
              <w:lang w:val="fr-FR"/>
            </w:rPr>
            <w:t xml:space="preserve"> biologique </w:t>
          </w:r>
          <w:r w:rsidR="00845226">
            <w:rPr>
              <w:lang w:val="fr-FR"/>
            </w:rPr>
            <w:t>(</w:t>
          </w:r>
          <w:r w:rsidRPr="00FA3D68">
            <w:rPr>
              <w:lang w:val="fr-FR"/>
            </w:rPr>
            <w:t>FiBL</w:t>
          </w:r>
          <w:r w:rsidR="00845226">
            <w:rPr>
              <w:lang w:val="fr-FR"/>
            </w:rPr>
            <w:t>)</w:t>
          </w:r>
          <w:r w:rsidRPr="00FA3D68">
            <w:rPr>
              <w:lang w:val="fr-FR"/>
            </w:rPr>
            <w:t xml:space="preserve"> | </w:t>
          </w:r>
          <w:proofErr w:type="spellStart"/>
          <w:r w:rsidRPr="00FA3D68">
            <w:rPr>
              <w:lang w:val="fr-FR"/>
            </w:rPr>
            <w:t>Ackerstrasse</w:t>
          </w:r>
          <w:proofErr w:type="spellEnd"/>
          <w:r w:rsidRPr="00FA3D68">
            <w:rPr>
              <w:lang w:val="fr-FR"/>
            </w:rPr>
            <w:t xml:space="preserve"> 113 | </w:t>
          </w:r>
          <w:r w:rsidR="00E66D80">
            <w:rPr>
              <w:lang w:val="fr-FR"/>
            </w:rPr>
            <w:t>C</w:t>
          </w:r>
          <w:r>
            <w:rPr>
              <w:lang w:val="fr-FR"/>
            </w:rPr>
            <w:t>ase postale</w:t>
          </w:r>
          <w:r w:rsidRPr="00FA3D68">
            <w:rPr>
              <w:lang w:val="fr-FR"/>
            </w:rPr>
            <w:t xml:space="preserve"> 219 </w:t>
          </w:r>
        </w:p>
        <w:p w14:paraId="6F499F55" w14:textId="66B12454" w:rsidR="000A29B4" w:rsidRPr="00A32159" w:rsidRDefault="000A29B4" w:rsidP="004E26A3">
          <w:pPr>
            <w:pStyle w:val="FiBLmrfooter"/>
            <w:rPr>
              <w:lang w:val="fr-FR"/>
            </w:rPr>
          </w:pPr>
          <w:r w:rsidRPr="00A32159">
            <w:rPr>
              <w:lang w:val="fr-FR"/>
            </w:rPr>
            <w:t xml:space="preserve">5070 Frick | Suisse | Tél. +41 62 865 72 72 | </w:t>
          </w:r>
          <w:hyperlink r:id="rId1">
            <w:r w:rsidRPr="00A32159">
              <w:rPr>
                <w:lang w:val="fr-FR"/>
              </w:rPr>
              <w:t xml:space="preserve">info.suisse@fibl.org </w:t>
            </w:r>
          </w:hyperlink>
          <w:r w:rsidRPr="00A32159">
            <w:rPr>
              <w:lang w:val="fr-FR"/>
            </w:rPr>
            <w:t xml:space="preserve">| </w:t>
          </w:r>
          <w:hyperlink r:id="rId2">
            <w:r w:rsidRPr="00A32159">
              <w:rPr>
                <w:lang w:val="fr-FR"/>
              </w:rPr>
              <w:t>www.fibl.org</w:t>
            </w:r>
          </w:hyperlink>
        </w:p>
      </w:tc>
      <w:tc>
        <w:tcPr>
          <w:tcW w:w="407" w:type="dxa"/>
        </w:tcPr>
        <w:p w14:paraId="767279C9" w14:textId="7EC874E4" w:rsidR="000A29B4" w:rsidRPr="00A32159" w:rsidRDefault="00E66D80" w:rsidP="00DA14CE">
          <w:pPr>
            <w:pStyle w:val="FiBLmrpagenumber"/>
            <w:rPr>
              <w:lang w:val="fr-FR"/>
            </w:rPr>
          </w:pPr>
          <w:r>
            <w:rPr>
              <w:lang w:val="fr-FR"/>
            </w:rPr>
            <w:t>219</w:t>
          </w:r>
        </w:p>
      </w:tc>
    </w:tr>
  </w:tbl>
  <w:p w14:paraId="27DDBF7E" w14:textId="77777777" w:rsidR="000A29B4" w:rsidRPr="00A32159" w:rsidRDefault="000A29B4" w:rsidP="00F73377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0A29B4" w:rsidRPr="001F35B2" w14:paraId="7833B319" w14:textId="77777777" w:rsidTr="00F1030B">
      <w:trPr>
        <w:trHeight w:val="510"/>
      </w:trPr>
      <w:tc>
        <w:tcPr>
          <w:tcW w:w="4923" w:type="pct"/>
        </w:tcPr>
        <w:p w14:paraId="2F4361F1" w14:textId="4A8A0AF7" w:rsidR="000A29B4" w:rsidRPr="0023521E" w:rsidRDefault="000A29B4" w:rsidP="00A0635F">
          <w:pPr>
            <w:pStyle w:val="FiBLmrfooter"/>
            <w:rPr>
              <w:lang w:val="fr-FR"/>
            </w:rPr>
          </w:pPr>
          <w:r w:rsidRPr="0023521E">
            <w:rPr>
              <w:lang w:val="fr-FR"/>
            </w:rPr>
            <w:t xml:space="preserve">Communiqué aux médias du </w:t>
          </w:r>
          <w:r w:rsidR="00C943A7">
            <w:rPr>
              <w:lang w:val="fr-FR"/>
            </w:rPr>
            <w:t>13</w:t>
          </w:r>
          <w:r w:rsidRPr="0023521E">
            <w:rPr>
              <w:lang w:val="fr-FR"/>
            </w:rPr>
            <w:t> février </w:t>
          </w:r>
          <w:r w:rsidR="00C943A7">
            <w:rPr>
              <w:lang w:val="fr-FR"/>
            </w:rPr>
            <w:t>2024</w:t>
          </w:r>
        </w:p>
      </w:tc>
      <w:tc>
        <w:tcPr>
          <w:tcW w:w="77" w:type="pct"/>
        </w:tcPr>
        <w:p w14:paraId="471127E1" w14:textId="6FD1C87B" w:rsidR="000A29B4" w:rsidRPr="001F35B2" w:rsidRDefault="000A29B4" w:rsidP="00DA14CE">
          <w:pPr>
            <w:pStyle w:val="FiBLmrpagenumber"/>
            <w:rPr>
              <w:lang w:val="de-CH"/>
            </w:rPr>
          </w:pPr>
          <w:r w:rsidRPr="001F35B2">
            <w:rPr>
              <w:lang w:val="de-CH"/>
            </w:rPr>
            <w:fldChar w:fldCharType="begin"/>
          </w:r>
          <w:r w:rsidRPr="001F35B2">
            <w:rPr>
              <w:lang w:val="de-CH"/>
            </w:rPr>
            <w:instrText xml:space="preserve"> PAGE   \* MERGEFORMAT </w:instrText>
          </w:r>
          <w:r w:rsidRPr="001F35B2">
            <w:rPr>
              <w:lang w:val="de-CH"/>
            </w:rPr>
            <w:fldChar w:fldCharType="separate"/>
          </w:r>
          <w:r w:rsidR="00603E39">
            <w:rPr>
              <w:noProof/>
              <w:lang w:val="de-CH"/>
            </w:rPr>
            <w:t>2</w:t>
          </w:r>
          <w:r w:rsidRPr="001F35B2">
            <w:rPr>
              <w:lang w:val="de-CH"/>
            </w:rPr>
            <w:fldChar w:fldCharType="end"/>
          </w:r>
        </w:p>
      </w:tc>
    </w:tr>
  </w:tbl>
  <w:p w14:paraId="726AABD5" w14:textId="77777777" w:rsidR="000A29B4" w:rsidRPr="001F35B2" w:rsidRDefault="000A29B4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BE596" w14:textId="77777777" w:rsidR="00EE17D1" w:rsidRDefault="00EE17D1" w:rsidP="00F53AA9">
      <w:pPr>
        <w:spacing w:after="0" w:line="240" w:lineRule="auto"/>
      </w:pPr>
      <w:r>
        <w:separator/>
      </w:r>
    </w:p>
  </w:footnote>
  <w:footnote w:type="continuationSeparator" w:id="0">
    <w:p w14:paraId="7D446DB4" w14:textId="77777777" w:rsidR="00EE17D1" w:rsidRDefault="00EE17D1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910" w:type="dxa"/>
      <w:tblInd w:w="-4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92"/>
      <w:gridCol w:w="6"/>
      <w:gridCol w:w="6"/>
      <w:gridCol w:w="6"/>
    </w:tblGrid>
    <w:tr w:rsidR="000A29B4" w14:paraId="1F1429B8" w14:textId="77777777" w:rsidTr="00313B62">
      <w:trPr>
        <w:trHeight w:val="599"/>
      </w:trPr>
      <w:tc>
        <w:tcPr>
          <w:tcW w:w="1576" w:type="dxa"/>
          <w:vAlign w:val="center"/>
        </w:tcPr>
        <w:tbl>
          <w:tblPr>
            <w:tblStyle w:val="Tabellenraster"/>
            <w:tblW w:w="891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2"/>
            <w:gridCol w:w="3550"/>
            <w:gridCol w:w="1894"/>
            <w:gridCol w:w="1894"/>
          </w:tblGrid>
          <w:tr w:rsidR="000A29B4" w14:paraId="6C31ADBA" w14:textId="77777777" w:rsidTr="000A29B4">
            <w:trPr>
              <w:trHeight w:val="599"/>
            </w:trPr>
            <w:tc>
              <w:tcPr>
                <w:tcW w:w="1572" w:type="dxa"/>
                <w:vAlign w:val="bottom"/>
              </w:tcPr>
              <w:p w14:paraId="0FF41827" w14:textId="77777777" w:rsidR="000A29B4" w:rsidRPr="00C725B7" w:rsidRDefault="000A29B4" w:rsidP="00313B62">
                <w:pPr>
                  <w:pStyle w:val="FiBLmrheader"/>
                </w:pPr>
                <w:r>
                  <w:rPr>
                    <w:noProof/>
                    <w:lang w:eastAsia="de-CH"/>
                  </w:rPr>
                  <w:drawing>
                    <wp:inline distT="0" distB="0" distL="0" distR="0" wp14:anchorId="27AC3F1B" wp14:editId="15FDABCE">
                      <wp:extent cx="861695" cy="360680"/>
                      <wp:effectExtent l="0" t="0" r="0" b="1270"/>
                      <wp:docPr id="2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Logo_FiBL_Switzerland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1695" cy="360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p>
            </w:tc>
            <w:tc>
              <w:tcPr>
                <w:tcW w:w="3550" w:type="dxa"/>
                <w:vAlign w:val="bottom"/>
              </w:tcPr>
              <w:p w14:paraId="224F4691" w14:textId="77777777" w:rsidR="000A29B4" w:rsidRDefault="000A29B4" w:rsidP="00313B62">
                <w:pPr>
                  <w:tabs>
                    <w:tab w:val="right" w:pos="7653"/>
                  </w:tabs>
                </w:pPr>
              </w:p>
            </w:tc>
            <w:tc>
              <w:tcPr>
                <w:tcW w:w="1894" w:type="dxa"/>
                <w:vAlign w:val="bottom"/>
              </w:tcPr>
              <w:p w14:paraId="5652FD92" w14:textId="77777777" w:rsidR="000A29B4" w:rsidRDefault="000A29B4" w:rsidP="00313B62">
                <w:pPr>
                  <w:tabs>
                    <w:tab w:val="right" w:pos="7653"/>
                  </w:tabs>
                </w:pPr>
              </w:p>
            </w:tc>
            <w:tc>
              <w:tcPr>
                <w:tcW w:w="1894" w:type="dxa"/>
                <w:vAlign w:val="bottom"/>
              </w:tcPr>
              <w:p w14:paraId="48D69C29" w14:textId="77777777" w:rsidR="000A29B4" w:rsidRDefault="000A29B4" w:rsidP="00313B62">
                <w:pPr>
                  <w:tabs>
                    <w:tab w:val="right" w:pos="7653"/>
                  </w:tabs>
                </w:pPr>
              </w:p>
            </w:tc>
          </w:tr>
        </w:tbl>
        <w:p w14:paraId="48E2BACC" w14:textId="77777777" w:rsidR="000A29B4" w:rsidRPr="00C725B7" w:rsidRDefault="000A29B4" w:rsidP="00313B62">
          <w:pPr>
            <w:pStyle w:val="FiBLmrheader"/>
          </w:pPr>
        </w:p>
      </w:tc>
      <w:tc>
        <w:tcPr>
          <w:tcW w:w="3486" w:type="dxa"/>
          <w:vAlign w:val="center"/>
        </w:tcPr>
        <w:p w14:paraId="3D24F243" w14:textId="77777777" w:rsidR="000A29B4" w:rsidRDefault="000A29B4" w:rsidP="00313B62">
          <w:pPr>
            <w:tabs>
              <w:tab w:val="right" w:pos="7653"/>
            </w:tabs>
          </w:pPr>
        </w:p>
      </w:tc>
      <w:tc>
        <w:tcPr>
          <w:tcW w:w="1924" w:type="dxa"/>
          <w:vAlign w:val="center"/>
        </w:tcPr>
        <w:p w14:paraId="4D6EB920" w14:textId="77777777" w:rsidR="000A29B4" w:rsidRDefault="000A29B4" w:rsidP="00313B62">
          <w:pPr>
            <w:tabs>
              <w:tab w:val="right" w:pos="7653"/>
            </w:tabs>
          </w:pPr>
        </w:p>
      </w:tc>
      <w:tc>
        <w:tcPr>
          <w:tcW w:w="1924" w:type="dxa"/>
          <w:vAlign w:val="center"/>
        </w:tcPr>
        <w:p w14:paraId="2BC0D0BA" w14:textId="77777777" w:rsidR="000A29B4" w:rsidRDefault="000A29B4" w:rsidP="00313B62">
          <w:pPr>
            <w:tabs>
              <w:tab w:val="right" w:pos="7653"/>
            </w:tabs>
          </w:pPr>
        </w:p>
      </w:tc>
    </w:tr>
  </w:tbl>
  <w:p w14:paraId="63912985" w14:textId="77777777" w:rsidR="000A29B4" w:rsidRDefault="000A29B4" w:rsidP="00E71FBF">
    <w:pPr>
      <w:tabs>
        <w:tab w:val="right" w:pos="7653"/>
      </w:tabs>
    </w:pPr>
    <w:r w:rsidRPr="00F64C94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3FB4ABC4" wp14:editId="112E654F">
          <wp:simplePos x="0" y="0"/>
          <wp:positionH relativeFrom="column">
            <wp:posOffset>4486436</wp:posOffset>
          </wp:positionH>
          <wp:positionV relativeFrom="paragraph">
            <wp:posOffset>-459105</wp:posOffset>
          </wp:positionV>
          <wp:extent cx="711200" cy="560705"/>
          <wp:effectExtent l="0" t="0" r="0" b="0"/>
          <wp:wrapNone/>
          <wp:docPr id="6" name="Grafik 6" descr="C:\Users\helga.willer\AppData\Local\Microsoft\Windows\INetCache\Content.Outlook\EAUK74DX\am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ga.willer\AppData\Local\Microsoft\Windows\INetCache\Content.Outlook\EAUK74DX\ami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r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rnumberi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34B208CC"/>
    <w:lvl w:ilvl="0" w:tplc="BAF26DE8">
      <w:start w:val="1"/>
      <w:numFmt w:val="bullet"/>
      <w:pStyle w:val="FiBLmrbulletpoin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rbulletpoint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rbulletpoint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64" w:dllVersion="6" w:nlCheck="1" w:checkStyle="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it-CH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yNLIwN7E0Nbe0MDFR0lEKTi0uzszPAykwNKkFABETjFotAAAA"/>
  </w:docVars>
  <w:rsids>
    <w:rsidRoot w:val="008D48AD"/>
    <w:rsid w:val="00002042"/>
    <w:rsid w:val="000031BB"/>
    <w:rsid w:val="00007999"/>
    <w:rsid w:val="00015F0E"/>
    <w:rsid w:val="00022073"/>
    <w:rsid w:val="000226EF"/>
    <w:rsid w:val="0003114A"/>
    <w:rsid w:val="00041610"/>
    <w:rsid w:val="00043BA3"/>
    <w:rsid w:val="00043DF8"/>
    <w:rsid w:val="00047F0B"/>
    <w:rsid w:val="00062281"/>
    <w:rsid w:val="000641BB"/>
    <w:rsid w:val="0006500E"/>
    <w:rsid w:val="00077078"/>
    <w:rsid w:val="0008157D"/>
    <w:rsid w:val="00082DCF"/>
    <w:rsid w:val="000839A8"/>
    <w:rsid w:val="000912D9"/>
    <w:rsid w:val="000928B5"/>
    <w:rsid w:val="00095B86"/>
    <w:rsid w:val="00097E74"/>
    <w:rsid w:val="000A0CF7"/>
    <w:rsid w:val="000A29B4"/>
    <w:rsid w:val="000A3B13"/>
    <w:rsid w:val="000B0DFD"/>
    <w:rsid w:val="000B5156"/>
    <w:rsid w:val="000B5F50"/>
    <w:rsid w:val="000C429D"/>
    <w:rsid w:val="000C42A8"/>
    <w:rsid w:val="000C4932"/>
    <w:rsid w:val="000C52D0"/>
    <w:rsid w:val="000C7401"/>
    <w:rsid w:val="000C75D0"/>
    <w:rsid w:val="000C75FB"/>
    <w:rsid w:val="000D5714"/>
    <w:rsid w:val="000D7A27"/>
    <w:rsid w:val="000E37EE"/>
    <w:rsid w:val="000E3EA1"/>
    <w:rsid w:val="000F0039"/>
    <w:rsid w:val="000F560C"/>
    <w:rsid w:val="00101471"/>
    <w:rsid w:val="0010418E"/>
    <w:rsid w:val="001050BE"/>
    <w:rsid w:val="00105656"/>
    <w:rsid w:val="00107221"/>
    <w:rsid w:val="00107A8E"/>
    <w:rsid w:val="00110B0B"/>
    <w:rsid w:val="00112E99"/>
    <w:rsid w:val="0012203B"/>
    <w:rsid w:val="00122378"/>
    <w:rsid w:val="00125125"/>
    <w:rsid w:val="001279B5"/>
    <w:rsid w:val="001354F8"/>
    <w:rsid w:val="001355DA"/>
    <w:rsid w:val="00145F0B"/>
    <w:rsid w:val="00146772"/>
    <w:rsid w:val="00147F6C"/>
    <w:rsid w:val="001539C5"/>
    <w:rsid w:val="00160627"/>
    <w:rsid w:val="0017068A"/>
    <w:rsid w:val="00174B82"/>
    <w:rsid w:val="0017595D"/>
    <w:rsid w:val="00175AD5"/>
    <w:rsid w:val="0018097B"/>
    <w:rsid w:val="00181469"/>
    <w:rsid w:val="001819A1"/>
    <w:rsid w:val="001832F2"/>
    <w:rsid w:val="0018434A"/>
    <w:rsid w:val="00186401"/>
    <w:rsid w:val="00190C1E"/>
    <w:rsid w:val="00194113"/>
    <w:rsid w:val="00195EC7"/>
    <w:rsid w:val="00195EE3"/>
    <w:rsid w:val="00196871"/>
    <w:rsid w:val="001A0756"/>
    <w:rsid w:val="001A0C00"/>
    <w:rsid w:val="001B3DB5"/>
    <w:rsid w:val="001B7823"/>
    <w:rsid w:val="001D3C1C"/>
    <w:rsid w:val="001E0C80"/>
    <w:rsid w:val="001E1C11"/>
    <w:rsid w:val="001E6585"/>
    <w:rsid w:val="001F35B2"/>
    <w:rsid w:val="001F529F"/>
    <w:rsid w:val="002041EF"/>
    <w:rsid w:val="00211862"/>
    <w:rsid w:val="002142F8"/>
    <w:rsid w:val="00214908"/>
    <w:rsid w:val="00215C15"/>
    <w:rsid w:val="00217211"/>
    <w:rsid w:val="0021744A"/>
    <w:rsid w:val="002203DD"/>
    <w:rsid w:val="00224BAA"/>
    <w:rsid w:val="0022639B"/>
    <w:rsid w:val="002302C3"/>
    <w:rsid w:val="00230924"/>
    <w:rsid w:val="002328D4"/>
    <w:rsid w:val="00232993"/>
    <w:rsid w:val="002348DF"/>
    <w:rsid w:val="0023521E"/>
    <w:rsid w:val="002352E9"/>
    <w:rsid w:val="002372C2"/>
    <w:rsid w:val="002446D1"/>
    <w:rsid w:val="00245F21"/>
    <w:rsid w:val="00246EA7"/>
    <w:rsid w:val="00254F8D"/>
    <w:rsid w:val="002602E3"/>
    <w:rsid w:val="002611D7"/>
    <w:rsid w:val="00267EB0"/>
    <w:rsid w:val="00271C9A"/>
    <w:rsid w:val="00272E08"/>
    <w:rsid w:val="00280674"/>
    <w:rsid w:val="0028305F"/>
    <w:rsid w:val="00283296"/>
    <w:rsid w:val="002837D9"/>
    <w:rsid w:val="00291FFE"/>
    <w:rsid w:val="002925F1"/>
    <w:rsid w:val="00293A28"/>
    <w:rsid w:val="002A0FB3"/>
    <w:rsid w:val="002A7906"/>
    <w:rsid w:val="002B1381"/>
    <w:rsid w:val="002B1D53"/>
    <w:rsid w:val="002B4435"/>
    <w:rsid w:val="002B7322"/>
    <w:rsid w:val="002C0814"/>
    <w:rsid w:val="002C3506"/>
    <w:rsid w:val="002C472A"/>
    <w:rsid w:val="002C5103"/>
    <w:rsid w:val="002D04EC"/>
    <w:rsid w:val="002D0D71"/>
    <w:rsid w:val="002D344B"/>
    <w:rsid w:val="002D757B"/>
    <w:rsid w:val="002D75D5"/>
    <w:rsid w:val="002D7D78"/>
    <w:rsid w:val="002D7F1B"/>
    <w:rsid w:val="002E7102"/>
    <w:rsid w:val="002E730F"/>
    <w:rsid w:val="002E78C0"/>
    <w:rsid w:val="002F0D8C"/>
    <w:rsid w:val="002F1625"/>
    <w:rsid w:val="002F4992"/>
    <w:rsid w:val="002F586A"/>
    <w:rsid w:val="002F6F0B"/>
    <w:rsid w:val="0030119E"/>
    <w:rsid w:val="00304682"/>
    <w:rsid w:val="00306A70"/>
    <w:rsid w:val="00310745"/>
    <w:rsid w:val="00311E06"/>
    <w:rsid w:val="00313532"/>
    <w:rsid w:val="00313B62"/>
    <w:rsid w:val="003150C5"/>
    <w:rsid w:val="003176F7"/>
    <w:rsid w:val="00323F0F"/>
    <w:rsid w:val="00333166"/>
    <w:rsid w:val="00334323"/>
    <w:rsid w:val="00344B27"/>
    <w:rsid w:val="00357CC7"/>
    <w:rsid w:val="00366408"/>
    <w:rsid w:val="00376D74"/>
    <w:rsid w:val="003810FD"/>
    <w:rsid w:val="00384530"/>
    <w:rsid w:val="00385FF2"/>
    <w:rsid w:val="00387804"/>
    <w:rsid w:val="003907CE"/>
    <w:rsid w:val="003A1BA8"/>
    <w:rsid w:val="003A4191"/>
    <w:rsid w:val="003A65CB"/>
    <w:rsid w:val="003C04BE"/>
    <w:rsid w:val="003C1747"/>
    <w:rsid w:val="003C6406"/>
    <w:rsid w:val="003D1138"/>
    <w:rsid w:val="003E5BCB"/>
    <w:rsid w:val="003F25F6"/>
    <w:rsid w:val="003F7D09"/>
    <w:rsid w:val="004000C6"/>
    <w:rsid w:val="00400CA5"/>
    <w:rsid w:val="00404EF3"/>
    <w:rsid w:val="0040579E"/>
    <w:rsid w:val="004106A4"/>
    <w:rsid w:val="00411DEF"/>
    <w:rsid w:val="00415DCD"/>
    <w:rsid w:val="0041671F"/>
    <w:rsid w:val="00416B71"/>
    <w:rsid w:val="00416BA5"/>
    <w:rsid w:val="00423C89"/>
    <w:rsid w:val="00426F16"/>
    <w:rsid w:val="004320E4"/>
    <w:rsid w:val="004324AF"/>
    <w:rsid w:val="004339A3"/>
    <w:rsid w:val="00435155"/>
    <w:rsid w:val="0044286A"/>
    <w:rsid w:val="004441B5"/>
    <w:rsid w:val="00444A88"/>
    <w:rsid w:val="00446B90"/>
    <w:rsid w:val="00450F2F"/>
    <w:rsid w:val="00453BD9"/>
    <w:rsid w:val="004570C7"/>
    <w:rsid w:val="0045715C"/>
    <w:rsid w:val="00457234"/>
    <w:rsid w:val="00465871"/>
    <w:rsid w:val="0046602F"/>
    <w:rsid w:val="004660E3"/>
    <w:rsid w:val="00466809"/>
    <w:rsid w:val="00472118"/>
    <w:rsid w:val="004731CA"/>
    <w:rsid w:val="00473F32"/>
    <w:rsid w:val="00474AEC"/>
    <w:rsid w:val="004762FE"/>
    <w:rsid w:val="004807B1"/>
    <w:rsid w:val="00480A91"/>
    <w:rsid w:val="004814C4"/>
    <w:rsid w:val="0048699C"/>
    <w:rsid w:val="004950D8"/>
    <w:rsid w:val="004963BC"/>
    <w:rsid w:val="004A0638"/>
    <w:rsid w:val="004A0D8C"/>
    <w:rsid w:val="004A29E0"/>
    <w:rsid w:val="004A3600"/>
    <w:rsid w:val="004B2393"/>
    <w:rsid w:val="004C1488"/>
    <w:rsid w:val="004C4067"/>
    <w:rsid w:val="004C56FE"/>
    <w:rsid w:val="004D1BBF"/>
    <w:rsid w:val="004D3F73"/>
    <w:rsid w:val="004D3FEF"/>
    <w:rsid w:val="004D4991"/>
    <w:rsid w:val="004D514C"/>
    <w:rsid w:val="004D6428"/>
    <w:rsid w:val="004E26A3"/>
    <w:rsid w:val="004E4FB7"/>
    <w:rsid w:val="004F01AB"/>
    <w:rsid w:val="004F2569"/>
    <w:rsid w:val="004F2A3F"/>
    <w:rsid w:val="004F613F"/>
    <w:rsid w:val="005019B0"/>
    <w:rsid w:val="005023AF"/>
    <w:rsid w:val="005032BE"/>
    <w:rsid w:val="005039D4"/>
    <w:rsid w:val="00503FD2"/>
    <w:rsid w:val="00506D9D"/>
    <w:rsid w:val="00514627"/>
    <w:rsid w:val="0051680C"/>
    <w:rsid w:val="00521C98"/>
    <w:rsid w:val="00525C77"/>
    <w:rsid w:val="00527CF1"/>
    <w:rsid w:val="0053137D"/>
    <w:rsid w:val="00533156"/>
    <w:rsid w:val="00537C2B"/>
    <w:rsid w:val="00540B0E"/>
    <w:rsid w:val="00540DAE"/>
    <w:rsid w:val="00544EA9"/>
    <w:rsid w:val="00546AE8"/>
    <w:rsid w:val="00547C35"/>
    <w:rsid w:val="00550B65"/>
    <w:rsid w:val="00555AB9"/>
    <w:rsid w:val="00555C7D"/>
    <w:rsid w:val="00566983"/>
    <w:rsid w:val="00567811"/>
    <w:rsid w:val="00571E3B"/>
    <w:rsid w:val="00577FFB"/>
    <w:rsid w:val="00580C94"/>
    <w:rsid w:val="00581636"/>
    <w:rsid w:val="00582FE9"/>
    <w:rsid w:val="00583E40"/>
    <w:rsid w:val="00584129"/>
    <w:rsid w:val="005867AD"/>
    <w:rsid w:val="0058737B"/>
    <w:rsid w:val="005909ED"/>
    <w:rsid w:val="005938C8"/>
    <w:rsid w:val="0059401F"/>
    <w:rsid w:val="00595DB8"/>
    <w:rsid w:val="005A104C"/>
    <w:rsid w:val="005A5923"/>
    <w:rsid w:val="005A7CBB"/>
    <w:rsid w:val="005B675F"/>
    <w:rsid w:val="005B74F9"/>
    <w:rsid w:val="005C344D"/>
    <w:rsid w:val="005C602A"/>
    <w:rsid w:val="005C7DD2"/>
    <w:rsid w:val="005D0989"/>
    <w:rsid w:val="005D65C1"/>
    <w:rsid w:val="005D7265"/>
    <w:rsid w:val="005D7327"/>
    <w:rsid w:val="005E19C9"/>
    <w:rsid w:val="005E2D32"/>
    <w:rsid w:val="005F0F54"/>
    <w:rsid w:val="005F1359"/>
    <w:rsid w:val="005F2A5C"/>
    <w:rsid w:val="005F4493"/>
    <w:rsid w:val="005F460D"/>
    <w:rsid w:val="005F4CAA"/>
    <w:rsid w:val="005F5A7E"/>
    <w:rsid w:val="005F7031"/>
    <w:rsid w:val="0060078C"/>
    <w:rsid w:val="00603E39"/>
    <w:rsid w:val="00604AA5"/>
    <w:rsid w:val="006063DB"/>
    <w:rsid w:val="00607BD3"/>
    <w:rsid w:val="00611CBA"/>
    <w:rsid w:val="00613117"/>
    <w:rsid w:val="006163C2"/>
    <w:rsid w:val="00623F17"/>
    <w:rsid w:val="00626731"/>
    <w:rsid w:val="00633F07"/>
    <w:rsid w:val="00635608"/>
    <w:rsid w:val="00640EDC"/>
    <w:rsid w:val="006410F4"/>
    <w:rsid w:val="006428B3"/>
    <w:rsid w:val="00646E4A"/>
    <w:rsid w:val="006477C1"/>
    <w:rsid w:val="00647922"/>
    <w:rsid w:val="00650982"/>
    <w:rsid w:val="006520EE"/>
    <w:rsid w:val="006569B3"/>
    <w:rsid w:val="00660F5E"/>
    <w:rsid w:val="00660F96"/>
    <w:rsid w:val="00661678"/>
    <w:rsid w:val="0066529D"/>
    <w:rsid w:val="00671D59"/>
    <w:rsid w:val="00680B5D"/>
    <w:rsid w:val="00681E9E"/>
    <w:rsid w:val="006848D5"/>
    <w:rsid w:val="00686D1E"/>
    <w:rsid w:val="0069372D"/>
    <w:rsid w:val="00693F94"/>
    <w:rsid w:val="006970ED"/>
    <w:rsid w:val="00697BB6"/>
    <w:rsid w:val="006A0CBC"/>
    <w:rsid w:val="006A40F6"/>
    <w:rsid w:val="006B2B03"/>
    <w:rsid w:val="006C0026"/>
    <w:rsid w:val="006C184D"/>
    <w:rsid w:val="006C6F92"/>
    <w:rsid w:val="006D0FF6"/>
    <w:rsid w:val="006D4D11"/>
    <w:rsid w:val="006D535E"/>
    <w:rsid w:val="006D7225"/>
    <w:rsid w:val="006E31AD"/>
    <w:rsid w:val="006E5C54"/>
    <w:rsid w:val="006E612A"/>
    <w:rsid w:val="006E7D72"/>
    <w:rsid w:val="006F501E"/>
    <w:rsid w:val="007000BE"/>
    <w:rsid w:val="00712776"/>
    <w:rsid w:val="00713D44"/>
    <w:rsid w:val="00714F62"/>
    <w:rsid w:val="0071726B"/>
    <w:rsid w:val="007238EA"/>
    <w:rsid w:val="00727486"/>
    <w:rsid w:val="0073057A"/>
    <w:rsid w:val="007322ED"/>
    <w:rsid w:val="00736F11"/>
    <w:rsid w:val="00743A4E"/>
    <w:rsid w:val="00754508"/>
    <w:rsid w:val="00754FAE"/>
    <w:rsid w:val="00757B52"/>
    <w:rsid w:val="00764E69"/>
    <w:rsid w:val="00766081"/>
    <w:rsid w:val="007666E3"/>
    <w:rsid w:val="00770538"/>
    <w:rsid w:val="007801FF"/>
    <w:rsid w:val="007829FC"/>
    <w:rsid w:val="00783897"/>
    <w:rsid w:val="00783BE6"/>
    <w:rsid w:val="007865F6"/>
    <w:rsid w:val="00786754"/>
    <w:rsid w:val="00787584"/>
    <w:rsid w:val="0078787E"/>
    <w:rsid w:val="00793238"/>
    <w:rsid w:val="00797B79"/>
    <w:rsid w:val="007A051D"/>
    <w:rsid w:val="007A0D20"/>
    <w:rsid w:val="007A672B"/>
    <w:rsid w:val="007C03B3"/>
    <w:rsid w:val="007C1515"/>
    <w:rsid w:val="007C4A8B"/>
    <w:rsid w:val="007C4B79"/>
    <w:rsid w:val="007C6110"/>
    <w:rsid w:val="007C7E19"/>
    <w:rsid w:val="007E2958"/>
    <w:rsid w:val="007E6D27"/>
    <w:rsid w:val="007E7DF5"/>
    <w:rsid w:val="007F4019"/>
    <w:rsid w:val="007F5C99"/>
    <w:rsid w:val="007F61E9"/>
    <w:rsid w:val="007F6593"/>
    <w:rsid w:val="00801AA6"/>
    <w:rsid w:val="00802525"/>
    <w:rsid w:val="00806A24"/>
    <w:rsid w:val="008100B7"/>
    <w:rsid w:val="008100C8"/>
    <w:rsid w:val="00812E0B"/>
    <w:rsid w:val="008160BA"/>
    <w:rsid w:val="00817B94"/>
    <w:rsid w:val="00823157"/>
    <w:rsid w:val="00823383"/>
    <w:rsid w:val="00824124"/>
    <w:rsid w:val="008257A8"/>
    <w:rsid w:val="008325CB"/>
    <w:rsid w:val="00834AF5"/>
    <w:rsid w:val="008370EE"/>
    <w:rsid w:val="008417D3"/>
    <w:rsid w:val="00845226"/>
    <w:rsid w:val="00846169"/>
    <w:rsid w:val="0084635F"/>
    <w:rsid w:val="008548A2"/>
    <w:rsid w:val="00854B75"/>
    <w:rsid w:val="00855B7B"/>
    <w:rsid w:val="00860CB4"/>
    <w:rsid w:val="00861053"/>
    <w:rsid w:val="00866E96"/>
    <w:rsid w:val="00870DEF"/>
    <w:rsid w:val="00871815"/>
    <w:rsid w:val="00872371"/>
    <w:rsid w:val="008778D8"/>
    <w:rsid w:val="00880FB5"/>
    <w:rsid w:val="0088216A"/>
    <w:rsid w:val="00887D80"/>
    <w:rsid w:val="00896B45"/>
    <w:rsid w:val="008A3482"/>
    <w:rsid w:val="008A3F7A"/>
    <w:rsid w:val="008A5E8C"/>
    <w:rsid w:val="008A68DF"/>
    <w:rsid w:val="008A6B50"/>
    <w:rsid w:val="008B1820"/>
    <w:rsid w:val="008B7311"/>
    <w:rsid w:val="008C148D"/>
    <w:rsid w:val="008D29E0"/>
    <w:rsid w:val="008D33E5"/>
    <w:rsid w:val="008D48AD"/>
    <w:rsid w:val="008E1B8D"/>
    <w:rsid w:val="008E7F9F"/>
    <w:rsid w:val="008F0EE1"/>
    <w:rsid w:val="009034D2"/>
    <w:rsid w:val="00910553"/>
    <w:rsid w:val="009109C1"/>
    <w:rsid w:val="00912F05"/>
    <w:rsid w:val="00932890"/>
    <w:rsid w:val="00936F14"/>
    <w:rsid w:val="00937648"/>
    <w:rsid w:val="00941163"/>
    <w:rsid w:val="0094480E"/>
    <w:rsid w:val="00947D86"/>
    <w:rsid w:val="009669B5"/>
    <w:rsid w:val="009750FD"/>
    <w:rsid w:val="009767BF"/>
    <w:rsid w:val="00977110"/>
    <w:rsid w:val="00977A8E"/>
    <w:rsid w:val="00977D13"/>
    <w:rsid w:val="009800DE"/>
    <w:rsid w:val="00980CCC"/>
    <w:rsid w:val="00981742"/>
    <w:rsid w:val="00982A03"/>
    <w:rsid w:val="00986D82"/>
    <w:rsid w:val="00986F71"/>
    <w:rsid w:val="009905D4"/>
    <w:rsid w:val="00990D51"/>
    <w:rsid w:val="00994C2D"/>
    <w:rsid w:val="00996C6A"/>
    <w:rsid w:val="009A52C4"/>
    <w:rsid w:val="009B0574"/>
    <w:rsid w:val="009B0C59"/>
    <w:rsid w:val="009B1E1D"/>
    <w:rsid w:val="009B738F"/>
    <w:rsid w:val="009C0B90"/>
    <w:rsid w:val="009C0F61"/>
    <w:rsid w:val="009C26C0"/>
    <w:rsid w:val="009C4FC3"/>
    <w:rsid w:val="009C7E54"/>
    <w:rsid w:val="009D6D52"/>
    <w:rsid w:val="009E3E09"/>
    <w:rsid w:val="009E747E"/>
    <w:rsid w:val="009F12FB"/>
    <w:rsid w:val="009F1AD7"/>
    <w:rsid w:val="009F306E"/>
    <w:rsid w:val="009F6919"/>
    <w:rsid w:val="00A00192"/>
    <w:rsid w:val="00A033E7"/>
    <w:rsid w:val="00A04B53"/>
    <w:rsid w:val="00A04F66"/>
    <w:rsid w:val="00A056D1"/>
    <w:rsid w:val="00A0635F"/>
    <w:rsid w:val="00A103FB"/>
    <w:rsid w:val="00A104A6"/>
    <w:rsid w:val="00A10C3D"/>
    <w:rsid w:val="00A121E4"/>
    <w:rsid w:val="00A135C6"/>
    <w:rsid w:val="00A21AE7"/>
    <w:rsid w:val="00A32159"/>
    <w:rsid w:val="00A32598"/>
    <w:rsid w:val="00A365ED"/>
    <w:rsid w:val="00A41042"/>
    <w:rsid w:val="00A413DC"/>
    <w:rsid w:val="00A41E35"/>
    <w:rsid w:val="00A53402"/>
    <w:rsid w:val="00A54AC7"/>
    <w:rsid w:val="00A57050"/>
    <w:rsid w:val="00A60037"/>
    <w:rsid w:val="00A624F0"/>
    <w:rsid w:val="00A632FC"/>
    <w:rsid w:val="00A63717"/>
    <w:rsid w:val="00A64025"/>
    <w:rsid w:val="00A75536"/>
    <w:rsid w:val="00A80F3A"/>
    <w:rsid w:val="00A83320"/>
    <w:rsid w:val="00A84D76"/>
    <w:rsid w:val="00AA1040"/>
    <w:rsid w:val="00AA295A"/>
    <w:rsid w:val="00AB4B2A"/>
    <w:rsid w:val="00AB6155"/>
    <w:rsid w:val="00AC6487"/>
    <w:rsid w:val="00AC683F"/>
    <w:rsid w:val="00AD1944"/>
    <w:rsid w:val="00AD1C24"/>
    <w:rsid w:val="00AD5653"/>
    <w:rsid w:val="00AD5FAE"/>
    <w:rsid w:val="00AE00E2"/>
    <w:rsid w:val="00AE0BFC"/>
    <w:rsid w:val="00AE7716"/>
    <w:rsid w:val="00AF3612"/>
    <w:rsid w:val="00AF68F0"/>
    <w:rsid w:val="00AF7880"/>
    <w:rsid w:val="00B00215"/>
    <w:rsid w:val="00B07CCE"/>
    <w:rsid w:val="00B116CC"/>
    <w:rsid w:val="00B11B61"/>
    <w:rsid w:val="00B12B9B"/>
    <w:rsid w:val="00B14517"/>
    <w:rsid w:val="00B14B64"/>
    <w:rsid w:val="00B15BC3"/>
    <w:rsid w:val="00B169A5"/>
    <w:rsid w:val="00B221D3"/>
    <w:rsid w:val="00B23022"/>
    <w:rsid w:val="00B233E6"/>
    <w:rsid w:val="00B23768"/>
    <w:rsid w:val="00B25F0B"/>
    <w:rsid w:val="00B273DE"/>
    <w:rsid w:val="00B37E7F"/>
    <w:rsid w:val="00B44024"/>
    <w:rsid w:val="00B559BF"/>
    <w:rsid w:val="00B61443"/>
    <w:rsid w:val="00B63C88"/>
    <w:rsid w:val="00B8078A"/>
    <w:rsid w:val="00B81388"/>
    <w:rsid w:val="00B85ECA"/>
    <w:rsid w:val="00B90724"/>
    <w:rsid w:val="00B90EB6"/>
    <w:rsid w:val="00BA73AE"/>
    <w:rsid w:val="00BB058F"/>
    <w:rsid w:val="00BB6309"/>
    <w:rsid w:val="00BB6809"/>
    <w:rsid w:val="00BB7AF8"/>
    <w:rsid w:val="00BC05AC"/>
    <w:rsid w:val="00BC1BE7"/>
    <w:rsid w:val="00BC5D34"/>
    <w:rsid w:val="00BC5FC0"/>
    <w:rsid w:val="00BC69C8"/>
    <w:rsid w:val="00BD31EA"/>
    <w:rsid w:val="00BE263F"/>
    <w:rsid w:val="00BE284C"/>
    <w:rsid w:val="00BF0055"/>
    <w:rsid w:val="00BF01F2"/>
    <w:rsid w:val="00BF2E82"/>
    <w:rsid w:val="00C00E6E"/>
    <w:rsid w:val="00C01B68"/>
    <w:rsid w:val="00C10742"/>
    <w:rsid w:val="00C1118E"/>
    <w:rsid w:val="00C14AA4"/>
    <w:rsid w:val="00C20662"/>
    <w:rsid w:val="00C21CF4"/>
    <w:rsid w:val="00C226B5"/>
    <w:rsid w:val="00C24077"/>
    <w:rsid w:val="00C27440"/>
    <w:rsid w:val="00C316F6"/>
    <w:rsid w:val="00C329AC"/>
    <w:rsid w:val="00C3309F"/>
    <w:rsid w:val="00C35583"/>
    <w:rsid w:val="00C42B0B"/>
    <w:rsid w:val="00C43260"/>
    <w:rsid w:val="00C4331B"/>
    <w:rsid w:val="00C4713E"/>
    <w:rsid w:val="00C50896"/>
    <w:rsid w:val="00C54E7B"/>
    <w:rsid w:val="00C60102"/>
    <w:rsid w:val="00C62CCF"/>
    <w:rsid w:val="00C67606"/>
    <w:rsid w:val="00C71277"/>
    <w:rsid w:val="00C725B7"/>
    <w:rsid w:val="00C738A7"/>
    <w:rsid w:val="00C73E52"/>
    <w:rsid w:val="00C8256D"/>
    <w:rsid w:val="00C92DC4"/>
    <w:rsid w:val="00C93A6C"/>
    <w:rsid w:val="00C94200"/>
    <w:rsid w:val="00C943A7"/>
    <w:rsid w:val="00CA5ADB"/>
    <w:rsid w:val="00CB2F27"/>
    <w:rsid w:val="00CB3AD1"/>
    <w:rsid w:val="00CB6F98"/>
    <w:rsid w:val="00CC13F5"/>
    <w:rsid w:val="00CC3D03"/>
    <w:rsid w:val="00CC46FE"/>
    <w:rsid w:val="00CC617A"/>
    <w:rsid w:val="00CD288D"/>
    <w:rsid w:val="00CD4B01"/>
    <w:rsid w:val="00CD6998"/>
    <w:rsid w:val="00CD69F7"/>
    <w:rsid w:val="00CD6E5C"/>
    <w:rsid w:val="00CE1A38"/>
    <w:rsid w:val="00CE1E5F"/>
    <w:rsid w:val="00CE3525"/>
    <w:rsid w:val="00CE5EA1"/>
    <w:rsid w:val="00CE703A"/>
    <w:rsid w:val="00CF4CEC"/>
    <w:rsid w:val="00CF6598"/>
    <w:rsid w:val="00D039AA"/>
    <w:rsid w:val="00D04CCE"/>
    <w:rsid w:val="00D04F9F"/>
    <w:rsid w:val="00D06A9E"/>
    <w:rsid w:val="00D0775C"/>
    <w:rsid w:val="00D142E7"/>
    <w:rsid w:val="00D15A3B"/>
    <w:rsid w:val="00D16E3C"/>
    <w:rsid w:val="00D20589"/>
    <w:rsid w:val="00D2124C"/>
    <w:rsid w:val="00D21A0A"/>
    <w:rsid w:val="00D25E6E"/>
    <w:rsid w:val="00D272D2"/>
    <w:rsid w:val="00D301BD"/>
    <w:rsid w:val="00D311F3"/>
    <w:rsid w:val="00D32E71"/>
    <w:rsid w:val="00D35602"/>
    <w:rsid w:val="00D371FC"/>
    <w:rsid w:val="00D378CC"/>
    <w:rsid w:val="00D41E23"/>
    <w:rsid w:val="00D447BA"/>
    <w:rsid w:val="00D521A0"/>
    <w:rsid w:val="00D53E34"/>
    <w:rsid w:val="00D5665E"/>
    <w:rsid w:val="00D61A9A"/>
    <w:rsid w:val="00D62262"/>
    <w:rsid w:val="00D629B8"/>
    <w:rsid w:val="00D71A45"/>
    <w:rsid w:val="00D7727C"/>
    <w:rsid w:val="00D82FEC"/>
    <w:rsid w:val="00D84B91"/>
    <w:rsid w:val="00D84DB9"/>
    <w:rsid w:val="00D87997"/>
    <w:rsid w:val="00D97FEF"/>
    <w:rsid w:val="00DA14CE"/>
    <w:rsid w:val="00DA3EC7"/>
    <w:rsid w:val="00DA3FA8"/>
    <w:rsid w:val="00DA4CF7"/>
    <w:rsid w:val="00DA5D86"/>
    <w:rsid w:val="00DA7216"/>
    <w:rsid w:val="00DB3900"/>
    <w:rsid w:val="00DB60FF"/>
    <w:rsid w:val="00DB6EFB"/>
    <w:rsid w:val="00DC061C"/>
    <w:rsid w:val="00DC15AC"/>
    <w:rsid w:val="00DD0000"/>
    <w:rsid w:val="00DD3850"/>
    <w:rsid w:val="00DD4377"/>
    <w:rsid w:val="00DD4627"/>
    <w:rsid w:val="00DE3617"/>
    <w:rsid w:val="00DE3A4B"/>
    <w:rsid w:val="00DE44EA"/>
    <w:rsid w:val="00DE5D4A"/>
    <w:rsid w:val="00DF2620"/>
    <w:rsid w:val="00DF2DF6"/>
    <w:rsid w:val="00E01488"/>
    <w:rsid w:val="00E06042"/>
    <w:rsid w:val="00E256CD"/>
    <w:rsid w:val="00E26382"/>
    <w:rsid w:val="00E32B51"/>
    <w:rsid w:val="00E34E1A"/>
    <w:rsid w:val="00E433A3"/>
    <w:rsid w:val="00E451EE"/>
    <w:rsid w:val="00E47B86"/>
    <w:rsid w:val="00E539FF"/>
    <w:rsid w:val="00E63471"/>
    <w:rsid w:val="00E64975"/>
    <w:rsid w:val="00E65F65"/>
    <w:rsid w:val="00E66D80"/>
    <w:rsid w:val="00E71BBC"/>
    <w:rsid w:val="00E71FBF"/>
    <w:rsid w:val="00E76CCB"/>
    <w:rsid w:val="00E876D5"/>
    <w:rsid w:val="00E902F3"/>
    <w:rsid w:val="00E937E8"/>
    <w:rsid w:val="00EA6FCE"/>
    <w:rsid w:val="00EB5787"/>
    <w:rsid w:val="00EB5F63"/>
    <w:rsid w:val="00EB6B1C"/>
    <w:rsid w:val="00EC19C4"/>
    <w:rsid w:val="00EC3302"/>
    <w:rsid w:val="00EC52BE"/>
    <w:rsid w:val="00ED0946"/>
    <w:rsid w:val="00ED45AF"/>
    <w:rsid w:val="00EE17D1"/>
    <w:rsid w:val="00EF1068"/>
    <w:rsid w:val="00EF1422"/>
    <w:rsid w:val="00EF1BCC"/>
    <w:rsid w:val="00EF726D"/>
    <w:rsid w:val="00F04498"/>
    <w:rsid w:val="00F04553"/>
    <w:rsid w:val="00F07B60"/>
    <w:rsid w:val="00F1030B"/>
    <w:rsid w:val="00F1384B"/>
    <w:rsid w:val="00F142B2"/>
    <w:rsid w:val="00F14B21"/>
    <w:rsid w:val="00F157E2"/>
    <w:rsid w:val="00F21C5E"/>
    <w:rsid w:val="00F2246D"/>
    <w:rsid w:val="00F22916"/>
    <w:rsid w:val="00F2573F"/>
    <w:rsid w:val="00F26625"/>
    <w:rsid w:val="00F3026F"/>
    <w:rsid w:val="00F33BFE"/>
    <w:rsid w:val="00F463DB"/>
    <w:rsid w:val="00F519E9"/>
    <w:rsid w:val="00F51D7F"/>
    <w:rsid w:val="00F53AA9"/>
    <w:rsid w:val="00F547A4"/>
    <w:rsid w:val="00F56F82"/>
    <w:rsid w:val="00F61C44"/>
    <w:rsid w:val="00F620F0"/>
    <w:rsid w:val="00F6745D"/>
    <w:rsid w:val="00F678FA"/>
    <w:rsid w:val="00F73377"/>
    <w:rsid w:val="00F76CD7"/>
    <w:rsid w:val="00FA0C71"/>
    <w:rsid w:val="00FA25B6"/>
    <w:rsid w:val="00FA28EF"/>
    <w:rsid w:val="00FA3D68"/>
    <w:rsid w:val="00FA7619"/>
    <w:rsid w:val="00FB31AF"/>
    <w:rsid w:val="00FB36B7"/>
    <w:rsid w:val="00FB5437"/>
    <w:rsid w:val="00FC17EA"/>
    <w:rsid w:val="00FC26D8"/>
    <w:rsid w:val="00FC7C7B"/>
    <w:rsid w:val="00FD4EE6"/>
    <w:rsid w:val="00FD5152"/>
    <w:rsid w:val="00FD55BE"/>
    <w:rsid w:val="00FE2013"/>
    <w:rsid w:val="00FE7BB5"/>
    <w:rsid w:val="00FF13EA"/>
    <w:rsid w:val="00FF6803"/>
    <w:rsid w:val="00FF6B6A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1C0329"/>
  <w15:docId w15:val="{4CA1C884-857A-4EA8-8568-204A296B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0912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rstandard">
    <w:name w:val="FiBL_mr_standard"/>
    <w:qFormat/>
    <w:rsid w:val="00C21CF4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rfooter">
    <w:name w:val="FiBL_mr_footer"/>
    <w:basedOn w:val="Standard"/>
    <w:qFormat/>
    <w:rsid w:val="00567811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mrbulletpoint">
    <w:name w:val="FiBL_mr_bulletpoint"/>
    <w:basedOn w:val="FiBLmrstandard"/>
    <w:qFormat/>
    <w:rsid w:val="00F620F0"/>
    <w:pPr>
      <w:numPr>
        <w:numId w:val="1"/>
      </w:numPr>
    </w:pPr>
  </w:style>
  <w:style w:type="paragraph" w:customStyle="1" w:styleId="FiBLmrbulletpoint2">
    <w:name w:val="FiBL_mr_bulletpoint_2"/>
    <w:basedOn w:val="FiBLmrbulletpoint"/>
    <w:qFormat/>
    <w:rsid w:val="001354F8"/>
    <w:pPr>
      <w:numPr>
        <w:ilvl w:val="1"/>
      </w:numPr>
      <w:ind w:left="568" w:hanging="284"/>
    </w:pPr>
  </w:style>
  <w:style w:type="paragraph" w:customStyle="1" w:styleId="FiBLmrbulletpoint3">
    <w:name w:val="FiBL_mr_bulletpoint_3"/>
    <w:basedOn w:val="FiBLmrbulletpoint"/>
    <w:qFormat/>
    <w:rsid w:val="001354F8"/>
    <w:pPr>
      <w:numPr>
        <w:ilvl w:val="2"/>
      </w:numPr>
      <w:ind w:left="709" w:hanging="284"/>
    </w:pPr>
  </w:style>
  <w:style w:type="paragraph" w:customStyle="1" w:styleId="FiBLmrnumbering">
    <w:name w:val="FiBL_mr_numbering"/>
    <w:basedOn w:val="FiBLmrstandard"/>
    <w:qFormat/>
    <w:rsid w:val="002F1625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rtitle">
    <w:name w:val="FiBL_mr_title"/>
    <w:basedOn w:val="FiBLmr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rlead">
    <w:name w:val="FiBL_mr_lead"/>
    <w:basedOn w:val="FiBLmrstandard"/>
    <w:next w:val="FiBLmrstandard"/>
    <w:qFormat/>
    <w:rsid w:val="002F1625"/>
    <w:pPr>
      <w:spacing w:after="200"/>
    </w:pPr>
    <w:rPr>
      <w:rFonts w:ascii="Gill Sans MT" w:hAnsi="Gill Sans MT"/>
      <w:b/>
    </w:rPr>
  </w:style>
  <w:style w:type="paragraph" w:customStyle="1" w:styleId="FiBLmrheader">
    <w:name w:val="FiBL_mr_header"/>
    <w:basedOn w:val="FiBLmr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rsubheader">
    <w:name w:val="FiBL_mr_subheader"/>
    <w:basedOn w:val="FiBLmrstandard"/>
    <w:qFormat/>
    <w:rsid w:val="002F1625"/>
    <w:pPr>
      <w:keepNext/>
      <w:spacing w:before="360"/>
    </w:pPr>
    <w:rPr>
      <w:rFonts w:ascii="Gill Sans MT" w:hAnsi="Gill Sans MT"/>
      <w:b/>
    </w:rPr>
  </w:style>
  <w:style w:type="paragraph" w:customStyle="1" w:styleId="FiBLmraddinfo">
    <w:name w:val="FiBL_mr_add_info"/>
    <w:basedOn w:val="FiBLmrstandard"/>
    <w:next w:val="FiBLmrstandard"/>
    <w:qFormat/>
    <w:rsid w:val="00567811"/>
    <w:pPr>
      <w:keepNext/>
      <w:spacing w:before="400"/>
    </w:pPr>
    <w:rPr>
      <w:rFonts w:ascii="Gill Sans MT" w:hAnsi="Gill Sans MT"/>
      <w:b/>
    </w:rPr>
  </w:style>
  <w:style w:type="paragraph" w:customStyle="1" w:styleId="FiBLmrreferences">
    <w:name w:val="FiBL_mr_references"/>
    <w:basedOn w:val="FiBLmrstandard"/>
    <w:qFormat/>
    <w:rsid w:val="00A54AC7"/>
    <w:pPr>
      <w:spacing w:before="40" w:after="40" w:line="240" w:lineRule="auto"/>
      <w:ind w:left="425" w:hanging="425"/>
    </w:pPr>
    <w:rPr>
      <w:sz w:val="20"/>
    </w:rPr>
  </w:style>
  <w:style w:type="paragraph" w:customStyle="1" w:styleId="FiBLmrpagenumber">
    <w:name w:val="FiBL_mr_pagenumber"/>
    <w:basedOn w:val="FiBLmrfooter"/>
    <w:qFormat/>
    <w:rsid w:val="00DA14CE"/>
  </w:style>
  <w:style w:type="paragraph" w:customStyle="1" w:styleId="FiBLmrannotationbulletpoint">
    <w:name w:val="FiBL_mr_annotation_bulletpoint"/>
    <w:basedOn w:val="FiBLmrbulletpoint"/>
    <w:qFormat/>
    <w:rsid w:val="006569B3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rannotation">
    <w:name w:val="FiBL_mr_annotation"/>
    <w:basedOn w:val="Standard"/>
    <w:qFormat/>
    <w:rsid w:val="00B15BC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lang w:val="en-GB"/>
    </w:rPr>
  </w:style>
  <w:style w:type="paragraph" w:customStyle="1" w:styleId="FiBLmrannotationtitle">
    <w:name w:val="FiBL_mr_annotation_title"/>
    <w:basedOn w:val="FiBLmraddinfo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unhideWhenUsed/>
    <w:rsid w:val="00F678FA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993"/>
  </w:style>
  <w:style w:type="table" w:styleId="HelleSchattierung-Akzent1">
    <w:name w:val="Light Shading Accent 1"/>
    <w:basedOn w:val="NormaleTabelle"/>
    <w:uiPriority w:val="60"/>
    <w:rsid w:val="00697BB6"/>
    <w:pPr>
      <w:spacing w:after="0" w:line="240" w:lineRule="auto"/>
    </w:pPr>
    <w:tblPr>
      <w:tblStyleRowBandSize w:val="1"/>
      <w:tblStyleColBandSize w:val="1"/>
      <w:tblBorders>
        <w:top w:val="single" w:sz="8" w:space="0" w:color="2F6C86"/>
        <w:bottom w:val="single" w:sz="8" w:space="0" w:color="2F6C8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C86"/>
          <w:left w:val="nil"/>
          <w:bottom w:val="single" w:sz="8" w:space="0" w:color="2F6C8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C86"/>
          <w:left w:val="nil"/>
          <w:bottom w:val="single" w:sz="8" w:space="0" w:color="2F6C8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BE8"/>
      </w:tcPr>
    </w:tblStylePr>
    <w:tblStylePr w:type="band1Horz">
      <w:tblPr/>
      <w:tcPr>
        <w:shd w:val="clear" w:color="auto" w:fill="BEDBE8"/>
      </w:tcPr>
    </w:tblStylePr>
  </w:style>
  <w:style w:type="paragraph" w:customStyle="1" w:styleId="woa-table-text">
    <w:name w:val="woa-table-text"/>
    <w:basedOn w:val="Standard"/>
    <w:link w:val="woa-table-textChar"/>
    <w:qFormat/>
    <w:rsid w:val="00215C15"/>
    <w:pPr>
      <w:keepLines/>
      <w:tabs>
        <w:tab w:val="left" w:pos="3060"/>
        <w:tab w:val="left" w:pos="6120"/>
      </w:tabs>
      <w:spacing w:before="20" w:after="20" w:line="240" w:lineRule="auto"/>
    </w:pPr>
    <w:rPr>
      <w:rFonts w:ascii="Gill Sans MT" w:eastAsia="MS Mincho" w:hAnsi="Gill Sans MT" w:cs="Times New Roman"/>
      <w:snapToGrid w:val="0"/>
      <w:color w:val="000000"/>
      <w:sz w:val="15"/>
      <w:szCs w:val="12"/>
      <w:lang w:val="en-US" w:eastAsia="x-none"/>
    </w:rPr>
  </w:style>
  <w:style w:type="character" w:customStyle="1" w:styleId="woa-table-textChar">
    <w:name w:val="woa-table-text Char"/>
    <w:link w:val="woa-table-text"/>
    <w:rsid w:val="00215C15"/>
    <w:rPr>
      <w:rFonts w:ascii="Gill Sans MT" w:eastAsia="MS Mincho" w:hAnsi="Gill Sans MT" w:cs="Times New Roman"/>
      <w:snapToGrid w:val="0"/>
      <w:color w:val="000000"/>
      <w:sz w:val="15"/>
      <w:szCs w:val="12"/>
      <w:lang w:val="en-US" w:eastAsia="x-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3A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3A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3A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3A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3A28"/>
    <w:rPr>
      <w:b/>
      <w:bCs/>
      <w:sz w:val="20"/>
      <w:szCs w:val="20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B6EFB"/>
    <w:rPr>
      <w:color w:val="605E5C"/>
      <w:shd w:val="clear" w:color="auto" w:fill="E1DFDD"/>
    </w:rPr>
  </w:style>
  <w:style w:type="paragraph" w:customStyle="1" w:styleId="FiBLmmerluterung">
    <w:name w:val="FiBL_mm_erläuterung"/>
    <w:basedOn w:val="Standard"/>
    <w:qFormat/>
    <w:rsid w:val="005019B0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styleId="StandardWeb">
    <w:name w:val="Normal (Web)"/>
    <w:basedOn w:val="Standard"/>
    <w:uiPriority w:val="99"/>
    <w:semiHidden/>
    <w:unhideWhenUsed/>
    <w:rsid w:val="00DB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B60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B60FF"/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C943A7"/>
    <w:rPr>
      <w:color w:val="605E5C"/>
      <w:shd w:val="clear" w:color="auto" w:fill="E1DFDD"/>
    </w:rPr>
  </w:style>
  <w:style w:type="character" w:customStyle="1" w:styleId="woa-footnoteChar">
    <w:name w:val="woa-footnote Char"/>
    <w:link w:val="woa-footnote"/>
    <w:locked/>
    <w:rsid w:val="00D039AA"/>
    <w:rPr>
      <w:rFonts w:ascii="Palatino Linotype" w:hAnsi="Palatino Linotype" w:cs="Arial"/>
      <w:bCs/>
      <w:color w:val="000000"/>
      <w:sz w:val="15"/>
      <w:lang w:val="en-GB" w:eastAsia="de-DE"/>
    </w:rPr>
  </w:style>
  <w:style w:type="paragraph" w:customStyle="1" w:styleId="woa-footnote">
    <w:name w:val="woa-footnote"/>
    <w:basedOn w:val="Standard"/>
    <w:link w:val="woa-footnoteChar"/>
    <w:qFormat/>
    <w:rsid w:val="00D039AA"/>
    <w:pPr>
      <w:spacing w:after="0" w:line="240" w:lineRule="auto"/>
    </w:pPr>
    <w:rPr>
      <w:rFonts w:ascii="Palatino Linotype" w:hAnsi="Palatino Linotype" w:cs="Arial"/>
      <w:bCs/>
      <w:color w:val="000000"/>
      <w:sz w:val="15"/>
      <w:lang w:val="en-GB" w:eastAsia="de-DE"/>
    </w:rPr>
  </w:style>
  <w:style w:type="table" w:customStyle="1" w:styleId="woatable1">
    <w:name w:val="woa_table1"/>
    <w:basedOn w:val="NormaleTabelle"/>
    <w:uiPriority w:val="63"/>
    <w:rsid w:val="00D039AA"/>
    <w:pPr>
      <w:spacing w:before="20" w:after="20" w:line="240" w:lineRule="auto"/>
    </w:pPr>
    <w:rPr>
      <w:rFonts w:ascii="Gill Sans MT" w:eastAsia="Calibri" w:hAnsi="Gill Sans MT" w:cs="Times"/>
      <w:sz w:val="13"/>
      <w:lang w:val="en-GB" w:eastAsia="en-US"/>
    </w:rPr>
    <w:tblPr>
      <w:tblStyleRowBandSize w:val="1"/>
      <w:tblInd w:w="0" w:type="nil"/>
      <w:tblBorders>
        <w:bottom w:val="single" w:sz="8" w:space="0" w:color="256C8E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ヒラギノ角ゴ Pro W3" w:eastAsia="ヒラギノ角ゴ Pro W3" w:hAnsi="ヒラギノ角ゴ Pro W3" w:hint="eastAsia"/>
        <w:b w:val="0"/>
        <w:bCs/>
        <w:color w:val="auto"/>
        <w:sz w:val="15"/>
        <w:szCs w:val="15"/>
      </w:rPr>
      <w:tblPr/>
      <w:tcPr>
        <w:tcBorders>
          <w:top w:val="single" w:sz="8" w:space="0" w:color="2F6C86"/>
          <w:bottom w:val="single" w:sz="8" w:space="0" w:color="2F6C86"/>
        </w:tcBorders>
        <w:shd w:val="clear" w:color="auto" w:fill="FFFFF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2F6C86"/>
          <w:left w:val="nil"/>
          <w:bottom w:val="single" w:sz="8" w:space="0" w:color="2F6C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  <w:tblPr/>
      <w:tcPr>
        <w:tcBorders>
          <w:top w:val="nil"/>
          <w:left w:val="nil"/>
          <w:bottom w:val="single" w:sz="6" w:space="0" w:color="2F6C86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E1ED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chwacherVerweis">
    <w:name w:val="Subtle Reference"/>
    <w:basedOn w:val="Absatz-Standardschriftart"/>
    <w:uiPriority w:val="31"/>
    <w:qFormat/>
    <w:rsid w:val="00D039AA"/>
    <w:rPr>
      <w:smallCap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39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39AA"/>
    <w:rPr>
      <w:i/>
      <w:iCs/>
      <w:color w:val="5B9BD5" w:themeColor="accent1"/>
    </w:rPr>
  </w:style>
  <w:style w:type="paragraph" w:styleId="berarbeitung">
    <w:name w:val="Revision"/>
    <w:hidden/>
    <w:uiPriority w:val="99"/>
    <w:semiHidden/>
    <w:rsid w:val="006428B3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F5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7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85254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33912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461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2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41684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951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46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7022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264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8992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219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0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533019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54609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2833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89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72453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20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93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256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575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345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1599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2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56653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19130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3936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2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64473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36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34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269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44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1204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4739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0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20551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62520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0362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67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79418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3397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929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907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443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6013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302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07391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9201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8381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50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15570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57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0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47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584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611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983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48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31339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7719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0625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14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67414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164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02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04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763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620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859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2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54843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49457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558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22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21844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410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393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870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748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0028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9989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8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ga.willer@fibl.org" TargetMode="External"/><Relationship Id="rId18" Type="http://schemas.openxmlformats.org/officeDocument/2006/relationships/hyperlink" Target="https://www.fibl.org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biofach.fibl.org/biofach-alle/biofach-2024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tatistics.fibl.org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www.organic-world.net/yearbook/yearbook-2024/infographics.html" TargetMode="External"/><Relationship Id="rId20" Type="http://schemas.openxmlformats.org/officeDocument/2006/relationships/hyperlink" Target="https://www.biofach.d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yperlink" Target="http://www.organic-world.net/yearbook/yearbook-2024.html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mi-informiert.de/ami-maerk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ana.schaack@ami-informiert.de" TargetMode="External"/><Relationship Id="rId22" Type="http://schemas.openxmlformats.org/officeDocument/2006/relationships/hyperlink" Target="http://www.fibl.org" TargetMode="External"/><Relationship Id="rId27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Englisch</Sprache>
    <FiBL_x002d_Standort xmlns="926ccd4c-651f-4ccc-af87-3950eef9fdad">FiBL CH</FiBL_x002d_Standort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cc3431f56ec274bbd9ab2455b4d0b0ad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10aed6f72c39a098e1b642a5ae5c4fd8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A549-99F8-4875-885B-68DEBC2BF4A4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926ccd4c-651f-4ccc-af87-3950eef9fda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8F9D1D-CE48-40BB-9E6D-F3B9BD6BB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42EF3-CB1F-4D35-BA7B-C53C14568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4D9C6-CAEA-41CF-8FF5-C3075D34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1502</Words>
  <Characters>9464</Characters>
  <Application>Microsoft Office Word</Application>
  <DocSecurity>0</DocSecurity>
  <Lines>78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En 2022, plus de 10% des terres agricoles de lʼUnion européenne étaient cultivés en bio</vt:lpstr>
      <vt:lpstr>Communiqué aux médias "Le bio toujours en croissance en Europe"</vt:lpstr>
      <vt:lpstr>Bio in Europa legt weiter zu</vt:lpstr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2022, plus de 10% des terres agricoles de lʼUnion européenne étaient cultivés en bio</dc:title>
  <dc:creator>Basler Andreas</dc:creator>
  <cp:lastModifiedBy>Basler Andreas</cp:lastModifiedBy>
  <cp:revision>40</cp:revision>
  <cp:lastPrinted>2024-02-13T10:11:00Z</cp:lastPrinted>
  <dcterms:created xsi:type="dcterms:W3CDTF">2024-02-10T14:37:00Z</dcterms:created>
  <dcterms:modified xsi:type="dcterms:W3CDTF">2024-02-13T10:13:00Z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  <property fmtid="{D5CDD505-2E9C-101B-9397-08002B2CF9AE}" pid="3" name="GrammarlyDocumentId">
    <vt:lpwstr>2ae8316467feae1dc972660893639be1f12048b31ad9b664fe5cb2be7eaf3beb</vt:lpwstr>
  </property>
</Properties>
</file>