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CCB9E" w14:textId="7079F2AF" w:rsidR="004762FE" w:rsidRPr="00062187" w:rsidRDefault="009D1172" w:rsidP="00453BD9">
      <w:pPr>
        <w:pStyle w:val="FiBLcmintertitre"/>
        <w:sectPr w:rsidR="004762FE" w:rsidRPr="00062187" w:rsidSect="00675CE0">
          <w:headerReference w:type="default" r:id="rId11"/>
          <w:footerReference w:type="default" r:id="rId12"/>
          <w:type w:val="continuous"/>
          <w:pgSz w:w="11906" w:h="16838"/>
          <w:pgMar w:top="2268" w:right="1701" w:bottom="1701" w:left="1701" w:header="1134" w:footer="567" w:gutter="0"/>
          <w:cols w:space="708"/>
          <w:docGrid w:linePitch="360"/>
        </w:sectPr>
      </w:pPr>
      <w:r w:rsidRPr="00062187">
        <w:t>Communiqué aux médias</w:t>
      </w:r>
    </w:p>
    <w:p w14:paraId="574ACBC4" w14:textId="4D55D284" w:rsidR="001A3130" w:rsidRPr="00282ECA" w:rsidRDefault="007527E2" w:rsidP="001A3130">
      <w:pPr>
        <w:pStyle w:val="FiBLcmlead"/>
        <w:rPr>
          <w:sz w:val="34"/>
        </w:rPr>
      </w:pPr>
      <w:r w:rsidRPr="007527E2">
        <w:rPr>
          <w:sz w:val="34"/>
        </w:rPr>
        <w:t>Importance croissante de la consommation bio</w:t>
      </w:r>
    </w:p>
    <w:p w14:paraId="09DA6407" w14:textId="5BD86CF9" w:rsidR="008719AE" w:rsidRDefault="007527E2" w:rsidP="007527E2">
      <w:pPr>
        <w:pStyle w:val="FiBLcmstandard"/>
        <w:spacing w:after="400"/>
      </w:pPr>
      <w:r w:rsidRPr="007527E2">
        <w:rPr>
          <w:rFonts w:ascii="Gill Sans MT" w:hAnsi="Gill Sans MT"/>
          <w:b/>
          <w:lang w:val="fr-FR"/>
        </w:rPr>
        <w:t>Le chiffre d’affaires généré par les denrées alimentaires dans le commerce de détail suisse s’est élevé en 2022 à 29,3 milliards de francs, soit une baisse de 4,6 % par rapport à l’année précédente, et, plus précisément, de 2,2 % pour les aliments bio et de 4,9 % pour ceux qui ne sont pas bio. Ce recul s’explique surtout par le retour à la normale de la consommation à la fin de la pandémie. En revanche, on constate, sur une période de plusieurs années, une nette croissance de la demande de denrées bio dans le commerce de détail.</w:t>
      </w:r>
    </w:p>
    <w:p w14:paraId="18D9750F" w14:textId="02725F58" w:rsidR="007527E2" w:rsidRPr="007527E2" w:rsidRDefault="007527E2" w:rsidP="007527E2">
      <w:pPr>
        <w:pStyle w:val="FiBLcmstandard"/>
        <w:spacing w:after="400"/>
      </w:pPr>
      <w:r>
        <w:rPr>
          <w:noProof/>
        </w:rPr>
        <w:drawing>
          <wp:inline distT="0" distB="0" distL="0" distR="0" wp14:anchorId="0B3F2271" wp14:editId="258BE239">
            <wp:extent cx="5402580" cy="3368040"/>
            <wp:effectExtent l="0" t="0" r="7620" b="381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2580" cy="3368040"/>
                    </a:xfrm>
                    <a:prstGeom prst="rect">
                      <a:avLst/>
                    </a:prstGeom>
                    <a:noFill/>
                    <a:ln>
                      <a:noFill/>
                    </a:ln>
                  </pic:spPr>
                </pic:pic>
              </a:graphicData>
            </a:graphic>
          </wp:inline>
        </w:drawing>
      </w:r>
    </w:p>
    <w:p w14:paraId="1BB78743" w14:textId="078521DE" w:rsidR="001A3130" w:rsidRDefault="00E06042" w:rsidP="001A3130">
      <w:pPr>
        <w:pStyle w:val="FiBLcmstandard"/>
        <w:rPr>
          <w:lang w:val="fr-FR"/>
        </w:rPr>
      </w:pPr>
      <w:r w:rsidRPr="00282ECA">
        <w:t xml:space="preserve">(Frick, </w:t>
      </w:r>
      <w:r w:rsidR="007527E2">
        <w:t>21</w:t>
      </w:r>
      <w:r w:rsidRPr="00282ECA">
        <w:t>.</w:t>
      </w:r>
      <w:r w:rsidR="001A3130" w:rsidRPr="00282ECA">
        <w:t>03</w:t>
      </w:r>
      <w:r w:rsidRPr="00282ECA">
        <w:t>.</w:t>
      </w:r>
      <w:r w:rsidR="001A3130" w:rsidRPr="00282ECA">
        <w:t>2023</w:t>
      </w:r>
      <w:r w:rsidRPr="00282ECA">
        <w:t>)</w:t>
      </w:r>
      <w:r w:rsidR="001A3130" w:rsidRPr="001A3130">
        <w:rPr>
          <w:b/>
          <w:lang w:val="fr-FR"/>
        </w:rPr>
        <w:t xml:space="preserve"> </w:t>
      </w:r>
      <w:r w:rsidR="007527E2" w:rsidRPr="007527E2">
        <w:rPr>
          <w:lang w:val="fr-FR"/>
        </w:rPr>
        <w:t>Le chiffre d’affaires généré par les denrées alimentaires bio est passé de 2,68 à 3,28 milliards de francs entre 2018 et 2022, soit un bond en avant de 22,5 %. Celui des aliments non bio a progressé de 6,9 % pendant la même période. La part du bio dans le chiffre d’affaires total des denrées alimentaires a, quant à lui, progressé dans le commerce de détail suisse, passant de 9,9 à 11,2 %.</w:t>
      </w:r>
    </w:p>
    <w:p w14:paraId="7A720FA6" w14:textId="25F1A1D3" w:rsidR="007527E2" w:rsidRPr="007527E2" w:rsidRDefault="007527E2" w:rsidP="007527E2">
      <w:pPr>
        <w:pStyle w:val="FiBLcmstandard"/>
        <w:spacing w:before="400"/>
      </w:pPr>
      <w:r w:rsidRPr="007527E2">
        <w:rPr>
          <w:rFonts w:ascii="Gill Sans MT" w:hAnsi="Gill Sans MT"/>
          <w:b/>
        </w:rPr>
        <w:t>Le renchérissement – un frein possible à l’achat de bio</w:t>
      </w:r>
    </w:p>
    <w:p w14:paraId="584AA681" w14:textId="3B7CD7CE" w:rsidR="007527E2" w:rsidRDefault="007527E2" w:rsidP="001A3130">
      <w:pPr>
        <w:pStyle w:val="FiBLcmstandard"/>
        <w:rPr>
          <w:lang w:val="fr-FR"/>
        </w:rPr>
      </w:pPr>
      <w:r w:rsidRPr="007527E2">
        <w:rPr>
          <w:lang w:val="fr-FR"/>
        </w:rPr>
        <w:t xml:space="preserve">Reste à savoir dans quelle mesure cette tendance va se poursuivre. L’Institut de recherche de l’agriculture biologique (FiBL) a réalisé auprès d’un millier de personnes dans toute la Suisse un sondage représentatif : le </w:t>
      </w:r>
      <w:proofErr w:type="spellStart"/>
      <w:r w:rsidRPr="007527E2">
        <w:rPr>
          <w:lang w:val="fr-FR"/>
        </w:rPr>
        <w:t>Biobaromètre</w:t>
      </w:r>
      <w:proofErr w:type="spellEnd"/>
      <w:r w:rsidRPr="007527E2">
        <w:rPr>
          <w:lang w:val="fr-FR"/>
        </w:rPr>
        <w:t xml:space="preserve">. D’après ce sondage, la </w:t>
      </w:r>
      <w:r w:rsidRPr="007527E2">
        <w:rPr>
          <w:lang w:val="fr-FR"/>
        </w:rPr>
        <w:lastRenderedPageBreak/>
        <w:t xml:space="preserve">grande majorité des participants à l’étude envisagent de maintenir ou d’augmenter leur consommation de bio à l’avenir aussi. Cependant, la hausse du coût de la vie pourrait mettre un frein à la demande de denrées alimentaires bio. En effet, 16 % des sondés ont indiqué qu’ils consommeraient moins de bio à l’avenir à cause du renchérissement. Il ressort également du </w:t>
      </w:r>
      <w:proofErr w:type="spellStart"/>
      <w:r w:rsidRPr="007527E2">
        <w:rPr>
          <w:lang w:val="fr-FR"/>
        </w:rPr>
        <w:t>Biobaromètre</w:t>
      </w:r>
      <w:proofErr w:type="spellEnd"/>
      <w:r w:rsidRPr="007527E2">
        <w:rPr>
          <w:lang w:val="fr-FR"/>
        </w:rPr>
        <w:t xml:space="preserve"> que le prix est considéré comme le principal frein aux achats de bio. Par ailleurs, les magasins discounts, jusqu’alors peu présents sur ce marché, sont devenus le deuxième canal de distribution de denrées alimentaires bio, après les détaillants clas</w:t>
      </w:r>
      <w:bookmarkStart w:id="0" w:name="_GoBack"/>
      <w:bookmarkEnd w:id="0"/>
      <w:r w:rsidRPr="007527E2">
        <w:rPr>
          <w:lang w:val="fr-FR"/>
        </w:rPr>
        <w:t xml:space="preserve">siques, comme le révèle l’analyse des données du panel de ménages et de détaillants de </w:t>
      </w:r>
      <w:proofErr w:type="spellStart"/>
      <w:r w:rsidRPr="007527E2">
        <w:rPr>
          <w:lang w:val="fr-FR"/>
        </w:rPr>
        <w:t>NielsenIQ</w:t>
      </w:r>
      <w:proofErr w:type="spellEnd"/>
      <w:r w:rsidRPr="007527E2">
        <w:rPr>
          <w:lang w:val="fr-FR"/>
        </w:rPr>
        <w:t xml:space="preserve"> </w:t>
      </w:r>
      <w:proofErr w:type="spellStart"/>
      <w:r w:rsidRPr="007527E2">
        <w:rPr>
          <w:lang w:val="fr-FR"/>
        </w:rPr>
        <w:t>Switzerland</w:t>
      </w:r>
      <w:proofErr w:type="spellEnd"/>
      <w:r w:rsidRPr="007527E2">
        <w:rPr>
          <w:lang w:val="fr-FR"/>
        </w:rPr>
        <w:t>.</w:t>
      </w:r>
    </w:p>
    <w:p w14:paraId="5050ED10" w14:textId="77777777" w:rsidR="007527E2" w:rsidRDefault="007527E2" w:rsidP="007527E2">
      <w:pPr>
        <w:pStyle w:val="FiBLcmstandard"/>
        <w:spacing w:before="400"/>
        <w:rPr>
          <w:rFonts w:ascii="Gill Sans MT" w:hAnsi="Gill Sans MT"/>
          <w:b/>
        </w:rPr>
      </w:pPr>
      <w:r w:rsidRPr="007527E2">
        <w:rPr>
          <w:rFonts w:ascii="Gill Sans MT" w:hAnsi="Gill Sans MT"/>
          <w:b/>
        </w:rPr>
        <w:t>Élargissement probable de la gamme bio dans le commerce de détail</w:t>
      </w:r>
    </w:p>
    <w:p w14:paraId="6E448802" w14:textId="77777777" w:rsidR="007527E2" w:rsidRPr="007527E2" w:rsidRDefault="007527E2" w:rsidP="007527E2">
      <w:pPr>
        <w:pStyle w:val="FiBLcmstandard"/>
        <w:rPr>
          <w:lang w:val="fr-FR"/>
        </w:rPr>
      </w:pPr>
      <w:r w:rsidRPr="007527E2">
        <w:rPr>
          <w:lang w:val="fr-FR"/>
        </w:rPr>
        <w:t>Dans l’ensemble, les denrées alimentaires bio bénéficient d’une image positive, notamment parce qu’elles sont très souvent perçues par les consommateurs comme des produits durables. Un capital sympathie qui pèsera aussi dans la décision d’acheter des aliments bio dans le futur. Il est en outre probable que les discounters et les détaillants classiques élargiront leurs gammes bio. On peut dès lors tabler sur une expansion de la consommation de bio.</w:t>
      </w:r>
    </w:p>
    <w:p w14:paraId="04E9B1C6" w14:textId="56229EC0" w:rsidR="007527E2" w:rsidRPr="007527E2" w:rsidRDefault="007527E2" w:rsidP="007527E2">
      <w:pPr>
        <w:pStyle w:val="FiBLcmstandard"/>
      </w:pPr>
      <w:r w:rsidRPr="007527E2">
        <w:rPr>
          <w:lang w:val="fr-FR"/>
        </w:rPr>
        <w:t xml:space="preserve">L’Office fédéral de l’agriculture (OFAG) et l’Institut de recherche de l’agriculture biologique (FiBL) ont analysé la consommation de bio dans le commerce de détail suisse et dans le pays entre 2018 et 20222 sur la base des données du panel de ménages et de détaillants de </w:t>
      </w:r>
      <w:proofErr w:type="spellStart"/>
      <w:r w:rsidRPr="007527E2">
        <w:rPr>
          <w:lang w:val="fr-FR"/>
        </w:rPr>
        <w:t>NielsenIQ</w:t>
      </w:r>
      <w:proofErr w:type="spellEnd"/>
      <w:r w:rsidRPr="007527E2">
        <w:rPr>
          <w:lang w:val="fr-FR"/>
        </w:rPr>
        <w:t xml:space="preserve"> </w:t>
      </w:r>
      <w:proofErr w:type="spellStart"/>
      <w:r w:rsidRPr="007527E2">
        <w:rPr>
          <w:lang w:val="fr-FR"/>
        </w:rPr>
        <w:t>Switzerland</w:t>
      </w:r>
      <w:proofErr w:type="spellEnd"/>
      <w:r w:rsidRPr="007527E2">
        <w:rPr>
          <w:lang w:val="fr-FR"/>
        </w:rPr>
        <w:t xml:space="preserve"> ainsi que du sondage représentatif </w:t>
      </w:r>
      <w:proofErr w:type="spellStart"/>
      <w:r w:rsidRPr="007527E2">
        <w:rPr>
          <w:lang w:val="fr-FR"/>
        </w:rPr>
        <w:t>Biobaromètre</w:t>
      </w:r>
      <w:proofErr w:type="spellEnd"/>
      <w:r w:rsidRPr="007527E2">
        <w:rPr>
          <w:lang w:val="fr-FR"/>
        </w:rPr>
        <w:t>. Comme la période entre 2020 et 2021 a été fortement marquée par la lutte contre la pandémie de COVID-19, c’est surtout la comparaison entre 2022 et les années 2018 et 2019 qui est intéressante.</w:t>
      </w:r>
    </w:p>
    <w:p w14:paraId="649CCBA8" w14:textId="42E27685" w:rsidR="00CD4B01" w:rsidRPr="001A3130" w:rsidRDefault="001A3130" w:rsidP="007527E2">
      <w:pPr>
        <w:pStyle w:val="FiBLcmstandard"/>
        <w:spacing w:before="400"/>
        <w:rPr>
          <w:rFonts w:ascii="Gill Sans MT" w:hAnsi="Gill Sans MT"/>
          <w:b/>
        </w:rPr>
      </w:pPr>
      <w:r w:rsidRPr="001A3130">
        <w:rPr>
          <w:rFonts w:ascii="Gill Sans MT" w:hAnsi="Gill Sans MT"/>
          <w:b/>
        </w:rPr>
        <w:t>Contacts</w:t>
      </w:r>
      <w:r w:rsidR="00B1134C" w:rsidRPr="001A3130">
        <w:rPr>
          <w:rFonts w:ascii="Gill Sans MT" w:hAnsi="Gill Sans MT"/>
          <w:b/>
        </w:rPr>
        <w:t xml:space="preserve"> </w:t>
      </w:r>
    </w:p>
    <w:p w14:paraId="6DCEF44E" w14:textId="77777777" w:rsidR="007527E2" w:rsidRPr="00A1467C" w:rsidRDefault="007527E2" w:rsidP="007527E2">
      <w:pPr>
        <w:pStyle w:val="FiBLcmpuces"/>
      </w:pPr>
      <w:r w:rsidRPr="00A1467C">
        <w:t xml:space="preserve">Seraina Siragna, </w:t>
      </w:r>
      <w:r>
        <w:t>Porte-parole</w:t>
      </w:r>
      <w:r w:rsidRPr="00062187">
        <w:t xml:space="preserve"> FiBL Suisse</w:t>
      </w:r>
      <w:r w:rsidRPr="00A1467C">
        <w:br/>
        <w:t xml:space="preserve">Tél +41 62 865 63 90, courriel </w:t>
      </w:r>
      <w:hyperlink r:id="rId14" w:history="1">
        <w:r w:rsidRPr="00A1467C">
          <w:rPr>
            <w:rStyle w:val="Hyperlink"/>
          </w:rPr>
          <w:t>seraina.siragna@fibl.org</w:t>
        </w:r>
      </w:hyperlink>
      <w:r w:rsidRPr="00A1467C">
        <w:t xml:space="preserve"> </w:t>
      </w:r>
    </w:p>
    <w:p w14:paraId="377F4FE5" w14:textId="77777777" w:rsidR="007527E2" w:rsidRPr="00A1467C" w:rsidRDefault="007527E2" w:rsidP="007527E2">
      <w:pPr>
        <w:pStyle w:val="FiBLcmpuces"/>
      </w:pPr>
      <w:r w:rsidRPr="00A1467C">
        <w:t xml:space="preserve">Hanna Stolz, </w:t>
      </w:r>
      <w:r w:rsidRPr="00693592">
        <w:t xml:space="preserve">Département des systèmes </w:t>
      </w:r>
      <w:proofErr w:type="spellStart"/>
      <w:r w:rsidRPr="00693592">
        <w:t>agri-alimentaires</w:t>
      </w:r>
      <w:proofErr w:type="spellEnd"/>
      <w:r w:rsidRPr="00693592">
        <w:t xml:space="preserve"> FiBL Suisse</w:t>
      </w:r>
      <w:r w:rsidRPr="00A1467C">
        <w:br/>
        <w:t xml:space="preserve">Tél. +41 62 865 04 13, </w:t>
      </w:r>
      <w:r w:rsidRPr="00062187">
        <w:t>courriel</w:t>
      </w:r>
      <w:r w:rsidRPr="00A1467C">
        <w:t xml:space="preserve"> </w:t>
      </w:r>
      <w:hyperlink r:id="rId15" w:history="1">
        <w:r w:rsidRPr="00A1467C">
          <w:rPr>
            <w:rStyle w:val="Hyperlink"/>
          </w:rPr>
          <w:t>hanna.stolz@fibl.org</w:t>
        </w:r>
      </w:hyperlink>
    </w:p>
    <w:p w14:paraId="2A28CBE6" w14:textId="77777777" w:rsidR="007527E2" w:rsidRPr="007527E2" w:rsidRDefault="007527E2" w:rsidP="007527E2">
      <w:pPr>
        <w:pStyle w:val="FiBLcmpuces"/>
      </w:pPr>
      <w:r w:rsidRPr="007527E2">
        <w:t>Florie Marion, secteur Communication et services linguistiques (OFAG)</w:t>
      </w:r>
      <w:r w:rsidRPr="007527E2">
        <w:br/>
        <w:t>Tél. +41 58 461 14 41</w:t>
      </w:r>
    </w:p>
    <w:p w14:paraId="7A2309DF" w14:textId="77777777" w:rsidR="007527E2" w:rsidRPr="007527E2" w:rsidRDefault="007527E2" w:rsidP="007527E2">
      <w:pPr>
        <w:pStyle w:val="FiBLcmpuces"/>
      </w:pPr>
      <w:r w:rsidRPr="007527E2">
        <w:t xml:space="preserve">Jonathan </w:t>
      </w:r>
      <w:proofErr w:type="spellStart"/>
      <w:r w:rsidRPr="007527E2">
        <w:t>Fisch</w:t>
      </w:r>
      <w:proofErr w:type="spellEnd"/>
      <w:r w:rsidRPr="007527E2">
        <w:t>, secteur Communication et services linguistiques (OFAG)</w:t>
      </w:r>
      <w:r w:rsidRPr="007527E2">
        <w:br/>
        <w:t>Tél. +41 58 483 92 78</w:t>
      </w:r>
    </w:p>
    <w:p w14:paraId="2EE8A0AF" w14:textId="0AA7F17C" w:rsidR="00282ECA" w:rsidRDefault="00282ECA" w:rsidP="00282ECA">
      <w:pPr>
        <w:pStyle w:val="FiBLmmzusatzinfo"/>
        <w:rPr>
          <w:rFonts w:ascii="Palatino Linotype" w:hAnsi="Palatino Linotype"/>
          <w:b w:val="0"/>
        </w:rPr>
      </w:pPr>
      <w:r>
        <w:t>Ce communiqué aux médias sur Internet</w:t>
      </w:r>
      <w:r>
        <w:br/>
      </w:r>
      <w:r>
        <w:rPr>
          <w:rFonts w:ascii="Palatino Linotype" w:hAnsi="Palatino Linotype"/>
          <w:b w:val="0"/>
        </w:rPr>
        <w:t xml:space="preserve">Vous trouverez ce communiqué aux médias sur Internet, à l’adresse </w:t>
      </w:r>
      <w:r w:rsidR="00693592">
        <w:rPr>
          <w:rFonts w:ascii="Palatino Linotype" w:hAnsi="Palatino Linotype"/>
          <w:b w:val="0"/>
        </w:rPr>
        <w:t>suivante :</w:t>
      </w:r>
      <w:r>
        <w:rPr>
          <w:rFonts w:ascii="Palatino Linotype" w:hAnsi="Palatino Linotype"/>
          <w:b w:val="0"/>
        </w:rPr>
        <w:t xml:space="preserve"> </w:t>
      </w:r>
      <w:hyperlink r:id="rId16" w:history="1">
        <w:r>
          <w:rPr>
            <w:rStyle w:val="Hyperlink"/>
            <w:rFonts w:ascii="Palatino Linotype" w:hAnsi="Palatino Linotype"/>
            <w:b w:val="0"/>
          </w:rPr>
          <w:t>https://www.fibl.org/fr/infotheque/medias.html</w:t>
        </w:r>
      </w:hyperlink>
      <w:r>
        <w:rPr>
          <w:rFonts w:ascii="Palatino Linotype" w:hAnsi="Palatino Linotype"/>
          <w:b w:val="0"/>
        </w:rPr>
        <w:t>.</w:t>
      </w:r>
    </w:p>
    <w:p w14:paraId="5A3C7904" w14:textId="5CFB83A4" w:rsidR="007527E2" w:rsidRDefault="007527E2" w:rsidP="007527E2">
      <w:pPr>
        <w:rPr>
          <w:lang w:val="fr-CH"/>
        </w:rPr>
      </w:pPr>
    </w:p>
    <w:p w14:paraId="37F607B7" w14:textId="67E7DC90" w:rsidR="007527E2" w:rsidRDefault="007527E2" w:rsidP="007527E2">
      <w:pPr>
        <w:pStyle w:val="FiBLmmzusatzinfo"/>
        <w:rPr>
          <w:rFonts w:ascii="Palatino Linotype" w:hAnsi="Palatino Linotype"/>
          <w:b w:val="0"/>
        </w:rPr>
      </w:pPr>
      <w:r w:rsidRPr="007527E2">
        <w:lastRenderedPageBreak/>
        <w:t>Liens</w:t>
      </w:r>
      <w:r>
        <w:br/>
      </w:r>
      <w:r w:rsidRPr="007527E2">
        <w:rPr>
          <w:rFonts w:ascii="Palatino Linotype" w:hAnsi="Palatino Linotype"/>
          <w:b w:val="0"/>
        </w:rPr>
        <w:t>Vous trouverez la version complète du bulletin du marché Bio ici</w:t>
      </w:r>
      <w:r w:rsidR="00400B43">
        <w:rPr>
          <w:rFonts w:ascii="Palatino Linotype" w:hAnsi="Palatino Linotype"/>
          <w:b w:val="0"/>
        </w:rPr>
        <w:t xml:space="preserve"> : </w:t>
      </w:r>
      <w:hyperlink r:id="rId17" w:history="1">
        <w:r w:rsidR="00400B43" w:rsidRPr="006A2DDD">
          <w:rPr>
            <w:rStyle w:val="Hyperlink"/>
            <w:rFonts w:ascii="Palatino Linotype" w:hAnsi="Palatino Linotype"/>
            <w:b w:val="0"/>
          </w:rPr>
          <w:t>https://biobarometer.fibl.org/download.html</w:t>
        </w:r>
      </w:hyperlink>
      <w:r w:rsidR="00693592">
        <w:rPr>
          <w:rFonts w:ascii="Palatino Linotype" w:hAnsi="Palatino Linotype"/>
          <w:b w:val="0"/>
        </w:rPr>
        <w:t>.</w:t>
      </w:r>
    </w:p>
    <w:p w14:paraId="69FF66C2" w14:textId="77777777" w:rsidR="001A3130" w:rsidRDefault="001A3130" w:rsidP="001A3130">
      <w:pPr>
        <w:pStyle w:val="FiBLcmannotationtitre"/>
      </w:pPr>
      <w:r w:rsidRPr="00062187">
        <w:t>À propos du FiBL</w:t>
      </w:r>
    </w:p>
    <w:p w14:paraId="06160F4D" w14:textId="77777777" w:rsidR="001A3130" w:rsidRDefault="001A3130" w:rsidP="001A3130">
      <w:pPr>
        <w:pStyle w:val="FiBLcmannotation"/>
      </w:pPr>
      <w:r w:rsidRPr="001B4462">
        <w:t>L’Institut de recherche de l’agriculture biologique FiBL est l’un des principaux instituts mondiaux de recherche en agriculture biologique. Les points forts du FiBL sont la recherche interdisciplinaire, l’innovation en collaboration avec les agricultrices et les agriculteurs et le secteur alimentaire ainsi que la rapidité du transfert de connaissances. Le groupe FiBL se compose actuellement du F</w:t>
      </w:r>
      <w:r>
        <w:t>i</w:t>
      </w:r>
      <w:r w:rsidRPr="001B4462">
        <w:t>BL Suisse (fondé en 1973), du FiBL Allemagne (2001), du FiBL Autriche (2004), de l’</w:t>
      </w:r>
      <w:proofErr w:type="spellStart"/>
      <w:r w:rsidRPr="001B4462">
        <w:t>ÖMKi</w:t>
      </w:r>
      <w:proofErr w:type="spellEnd"/>
      <w:r w:rsidRPr="001B4462">
        <w:t xml:space="preserve"> (Institut hongrois de recherche en agriculture biologique, 2011), du FiBL France (2017) et du FiBL Europe (2017), qui représente les cinq instituts nationaux. Sur ses différents sites, le groupe compte au total quelque </w:t>
      </w:r>
      <w:r>
        <w:t>350</w:t>
      </w:r>
      <w:r w:rsidRPr="001B4462">
        <w:t xml:space="preserve"> collaboratrices et collaborateurs. </w:t>
      </w:r>
      <w:hyperlink r:id="rId18" w:history="1">
        <w:r w:rsidRPr="00D30F1E">
          <w:rPr>
            <w:rStyle w:val="Hyperlink"/>
          </w:rPr>
          <w:t>www.fibl.org</w:t>
        </w:r>
      </w:hyperlink>
    </w:p>
    <w:sectPr w:rsidR="001A3130" w:rsidSect="00675CE0">
      <w:footerReference w:type="default" r:id="rId19"/>
      <w:type w:val="continuous"/>
      <w:pgSz w:w="11906" w:h="16838"/>
      <w:pgMar w:top="2268" w:right="1701" w:bottom="1701" w:left="1701"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CCBBA" w14:textId="77777777" w:rsidR="00736F11" w:rsidRDefault="00736F11" w:rsidP="00F53AA9">
      <w:pPr>
        <w:spacing w:after="0" w:line="240" w:lineRule="auto"/>
      </w:pPr>
      <w:r>
        <w:separator/>
      </w:r>
    </w:p>
  </w:endnote>
  <w:endnote w:type="continuationSeparator" w:id="0">
    <w:p w14:paraId="649CCBBB" w14:textId="77777777" w:rsidR="00736F11" w:rsidRDefault="00736F11" w:rsidP="00F53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 w:name="Sitka Text">
    <w:panose1 w:val="02000505000000020004"/>
    <w:charset w:val="00"/>
    <w:family w:val="auto"/>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venirNext LT Pro Cn">
    <w:altName w:val="Calibri"/>
    <w:panose1 w:val="00000000000000000000"/>
    <w:charset w:val="00"/>
    <w:family w:val="swiss"/>
    <w:notTrueType/>
    <w:pitch w:val="variable"/>
    <w:sig w:usb0="800000A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6"/>
      <w:gridCol w:w="407"/>
    </w:tblGrid>
    <w:tr w:rsidR="00F73377" w:rsidRPr="007527E2" w14:paraId="649CCBC6" w14:textId="77777777" w:rsidTr="00C61E1A">
      <w:trPr>
        <w:trHeight w:val="508"/>
      </w:trPr>
      <w:tc>
        <w:tcPr>
          <w:tcW w:w="7656" w:type="dxa"/>
        </w:tcPr>
        <w:p w14:paraId="649CCBC3" w14:textId="77777777" w:rsidR="008A6B50" w:rsidRDefault="00D9543E" w:rsidP="00D9543E">
          <w:pPr>
            <w:pStyle w:val="FiBLcmpieddepage"/>
          </w:pPr>
          <w:r>
            <w:t>Institut de recherche de l’agriculture biologique</w:t>
          </w:r>
          <w:r w:rsidR="00F73377" w:rsidRPr="008A6B50">
            <w:t xml:space="preserve"> FiBL | </w:t>
          </w:r>
          <w:proofErr w:type="spellStart"/>
          <w:r w:rsidR="00F73377" w:rsidRPr="008A6B50">
            <w:t>Ackerstrasse</w:t>
          </w:r>
          <w:proofErr w:type="spellEnd"/>
          <w:r w:rsidR="00F73377" w:rsidRPr="008A6B50">
            <w:t xml:space="preserve"> 113 | </w:t>
          </w:r>
          <w:proofErr w:type="spellStart"/>
          <w:r w:rsidR="00F73377" w:rsidRPr="008A6B50">
            <w:t>Postfach</w:t>
          </w:r>
          <w:proofErr w:type="spellEnd"/>
          <w:r w:rsidR="00F73377" w:rsidRPr="008A6B50">
            <w:t xml:space="preserve"> 219 </w:t>
          </w:r>
        </w:p>
        <w:p w14:paraId="649CCBC4" w14:textId="77777777" w:rsidR="00F73377" w:rsidRPr="008A6B50" w:rsidRDefault="00F73377" w:rsidP="008E2286">
          <w:pPr>
            <w:pStyle w:val="FiBLcmpieddepage"/>
          </w:pPr>
          <w:r w:rsidRPr="008A6B50">
            <w:t xml:space="preserve">5070 Frick | </w:t>
          </w:r>
          <w:r w:rsidR="008E2286">
            <w:t>Suisse</w:t>
          </w:r>
          <w:r w:rsidR="008E2286" w:rsidRPr="008A6B50">
            <w:t xml:space="preserve"> | </w:t>
          </w:r>
          <w:r w:rsidR="008E2286">
            <w:t>Tél</w:t>
          </w:r>
          <w:r w:rsidR="002131D2">
            <w:t xml:space="preserve"> +41 </w:t>
          </w:r>
          <w:r w:rsidRPr="008A6B50">
            <w:t xml:space="preserve">62 865 72 72 | </w:t>
          </w:r>
          <w:hyperlink r:id="rId1">
            <w:r w:rsidRPr="008A6B50">
              <w:t xml:space="preserve">info.suisse@fibl.org </w:t>
            </w:r>
          </w:hyperlink>
          <w:r w:rsidRPr="008A6B50">
            <w:t xml:space="preserve">| </w:t>
          </w:r>
          <w:hyperlink r:id="rId2">
            <w:r w:rsidRPr="008A6B50">
              <w:t>www.fibl.org</w:t>
            </w:r>
          </w:hyperlink>
        </w:p>
      </w:tc>
      <w:tc>
        <w:tcPr>
          <w:tcW w:w="407" w:type="dxa"/>
        </w:tcPr>
        <w:p w14:paraId="649CCBC5" w14:textId="77777777" w:rsidR="00F73377" w:rsidRPr="008A6B50" w:rsidRDefault="00F73377" w:rsidP="00D9543E">
          <w:pPr>
            <w:pStyle w:val="FiBLcmpieddepage"/>
          </w:pPr>
        </w:p>
      </w:tc>
    </w:tr>
  </w:tbl>
  <w:p w14:paraId="649CCBC7" w14:textId="77777777" w:rsidR="00D142E7" w:rsidRPr="001B4462" w:rsidRDefault="00D142E7" w:rsidP="00F73377">
    <w:pPr>
      <w:pStyle w:val="Fuzeile"/>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73"/>
      <w:gridCol w:w="131"/>
    </w:tblGrid>
    <w:tr w:rsidR="00DA14CE" w:rsidRPr="008A6B50" w14:paraId="649CCBCC" w14:textId="77777777" w:rsidTr="00865CAB">
      <w:trPr>
        <w:trHeight w:val="508"/>
      </w:trPr>
      <w:tc>
        <w:tcPr>
          <w:tcW w:w="4923" w:type="pct"/>
        </w:tcPr>
        <w:p w14:paraId="649CCBCA" w14:textId="4E767892" w:rsidR="00DA14CE" w:rsidRPr="000D7A27" w:rsidRDefault="00D15033" w:rsidP="003D1026">
          <w:pPr>
            <w:pStyle w:val="FiBLcmpieddepage"/>
          </w:pPr>
          <w:r>
            <w:t>Communiqué aux médias</w:t>
          </w:r>
          <w:r w:rsidR="00DA14CE">
            <w:t xml:space="preserve"> </w:t>
          </w:r>
          <w:r w:rsidR="003D1026">
            <w:t>du</w:t>
          </w:r>
          <w:r w:rsidR="00282ECA">
            <w:t xml:space="preserve"> </w:t>
          </w:r>
          <w:r w:rsidR="007527E2">
            <w:t>21</w:t>
          </w:r>
          <w:r w:rsidR="00282ECA">
            <w:t>.03.2023</w:t>
          </w:r>
          <w:r w:rsidR="00DA14CE">
            <w:t xml:space="preserve"> </w:t>
          </w:r>
        </w:p>
      </w:tc>
      <w:tc>
        <w:tcPr>
          <w:tcW w:w="77" w:type="pct"/>
        </w:tcPr>
        <w:p w14:paraId="649CCBCB" w14:textId="77777777" w:rsidR="00DA14CE" w:rsidRPr="00DA14CE" w:rsidRDefault="00DA14CE" w:rsidP="00DA14CE">
          <w:pPr>
            <w:pStyle w:val="FiBLcmnumropage"/>
          </w:pPr>
          <w:r w:rsidRPr="00DA14CE">
            <w:fldChar w:fldCharType="begin"/>
          </w:r>
          <w:r w:rsidRPr="00DA14CE">
            <w:instrText xml:space="preserve"> PAGE   \* MERGEFORMAT </w:instrText>
          </w:r>
          <w:r w:rsidRPr="00DA14CE">
            <w:fldChar w:fldCharType="separate"/>
          </w:r>
          <w:r w:rsidR="00865CAB">
            <w:rPr>
              <w:noProof/>
            </w:rPr>
            <w:t>2</w:t>
          </w:r>
          <w:r w:rsidRPr="00DA14CE">
            <w:fldChar w:fldCharType="end"/>
          </w:r>
        </w:p>
      </w:tc>
    </w:tr>
  </w:tbl>
  <w:p w14:paraId="649CCBCD" w14:textId="77777777" w:rsidR="00DA14CE" w:rsidRPr="00F73377" w:rsidRDefault="00DA14CE" w:rsidP="00F733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CCBB8" w14:textId="77777777" w:rsidR="00736F11" w:rsidRDefault="00736F11" w:rsidP="00F53AA9">
      <w:pPr>
        <w:spacing w:after="0" w:line="240" w:lineRule="auto"/>
      </w:pPr>
      <w:r>
        <w:separator/>
      </w:r>
    </w:p>
  </w:footnote>
  <w:footnote w:type="continuationSeparator" w:id="0">
    <w:p w14:paraId="649CCBB9" w14:textId="77777777" w:rsidR="00736F11" w:rsidRDefault="00736F11" w:rsidP="00F53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7995" w:type="dxa"/>
      <w:tblInd w:w="-4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16"/>
      <w:gridCol w:w="4111"/>
      <w:gridCol w:w="2268"/>
    </w:tblGrid>
    <w:tr w:rsidR="007666E3" w14:paraId="649CCBC0" w14:textId="77777777" w:rsidTr="00C61E1A">
      <w:trPr>
        <w:trHeight w:val="599"/>
      </w:trPr>
      <w:tc>
        <w:tcPr>
          <w:tcW w:w="1616" w:type="dxa"/>
        </w:tcPr>
        <w:p w14:paraId="649CCBBD" w14:textId="77777777" w:rsidR="007666E3" w:rsidRPr="00C725B7" w:rsidRDefault="007666E3" w:rsidP="007666E3">
          <w:pPr>
            <w:pStyle w:val="FiBLcmstandard"/>
          </w:pPr>
          <w:r>
            <w:rPr>
              <w:noProof/>
              <w:lang w:val="de-CH"/>
            </w:rPr>
            <w:drawing>
              <wp:inline distT="0" distB="0" distL="0" distR="0" wp14:anchorId="649CCBCE" wp14:editId="649CCBCF">
                <wp:extent cx="861695" cy="360680"/>
                <wp:effectExtent l="0" t="0" r="0" b="127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FiBL_Switzerla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1695" cy="360680"/>
                        </a:xfrm>
                        <a:prstGeom prst="rect">
                          <a:avLst/>
                        </a:prstGeom>
                      </pic:spPr>
                    </pic:pic>
                  </a:graphicData>
                </a:graphic>
              </wp:inline>
            </w:drawing>
          </w:r>
          <w:r>
            <w:t xml:space="preserve"> </w:t>
          </w:r>
        </w:p>
      </w:tc>
      <w:tc>
        <w:tcPr>
          <w:tcW w:w="4111" w:type="dxa"/>
        </w:tcPr>
        <w:p w14:paraId="649CCBBE" w14:textId="77777777" w:rsidR="007666E3" w:rsidRDefault="007666E3" w:rsidP="007666E3">
          <w:pPr>
            <w:pStyle w:val="Kopfzeile"/>
            <w:tabs>
              <w:tab w:val="clear" w:pos="9072"/>
              <w:tab w:val="right" w:pos="7653"/>
            </w:tabs>
            <w:ind w:left="0"/>
          </w:pPr>
        </w:p>
      </w:tc>
      <w:tc>
        <w:tcPr>
          <w:tcW w:w="2268" w:type="dxa"/>
        </w:tcPr>
        <w:p w14:paraId="649CCBBF" w14:textId="77777777" w:rsidR="007666E3" w:rsidRDefault="007666E3" w:rsidP="00A033E7">
          <w:pPr>
            <w:pStyle w:val="Kopfzeile"/>
            <w:tabs>
              <w:tab w:val="clear" w:pos="9072"/>
              <w:tab w:val="right" w:pos="7653"/>
            </w:tabs>
            <w:jc w:val="right"/>
          </w:pPr>
        </w:p>
      </w:tc>
    </w:tr>
  </w:tbl>
  <w:p w14:paraId="649CCBC1" w14:textId="77777777" w:rsidR="00540DAE" w:rsidRDefault="00540DAE" w:rsidP="00D9543E">
    <w:pPr>
      <w:pStyle w:val="FiBLcmpieddepa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02200"/>
    <w:multiLevelType w:val="hybridMultilevel"/>
    <w:tmpl w:val="1292E0A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38EB616B"/>
    <w:multiLevelType w:val="hybridMultilevel"/>
    <w:tmpl w:val="17BA7BA0"/>
    <w:lvl w:ilvl="0" w:tplc="99942C50">
      <w:start w:val="1"/>
      <w:numFmt w:val="bullet"/>
      <w:pStyle w:val="FiBLcmannotationpuces"/>
      <w:lvlText w:val=""/>
      <w:lvlJc w:val="left"/>
      <w:pPr>
        <w:ind w:left="833" w:hanging="360"/>
      </w:pPr>
      <w:rPr>
        <w:rFonts w:ascii="Symbol" w:hAnsi="Symbol" w:hint="default"/>
        <w:u w:color="2F6C86"/>
      </w:rPr>
    </w:lvl>
    <w:lvl w:ilvl="1" w:tplc="08070003" w:tentative="1">
      <w:start w:val="1"/>
      <w:numFmt w:val="bullet"/>
      <w:lvlText w:val="o"/>
      <w:lvlJc w:val="left"/>
      <w:pPr>
        <w:ind w:left="1553" w:hanging="360"/>
      </w:pPr>
      <w:rPr>
        <w:rFonts w:ascii="Courier New" w:hAnsi="Courier New" w:cs="Courier New" w:hint="default"/>
      </w:rPr>
    </w:lvl>
    <w:lvl w:ilvl="2" w:tplc="08070005" w:tentative="1">
      <w:start w:val="1"/>
      <w:numFmt w:val="bullet"/>
      <w:lvlText w:val=""/>
      <w:lvlJc w:val="left"/>
      <w:pPr>
        <w:ind w:left="2273" w:hanging="360"/>
      </w:pPr>
      <w:rPr>
        <w:rFonts w:ascii="Wingdings" w:hAnsi="Wingdings" w:hint="default"/>
      </w:rPr>
    </w:lvl>
    <w:lvl w:ilvl="3" w:tplc="08070001" w:tentative="1">
      <w:start w:val="1"/>
      <w:numFmt w:val="bullet"/>
      <w:lvlText w:val=""/>
      <w:lvlJc w:val="left"/>
      <w:pPr>
        <w:ind w:left="2993" w:hanging="360"/>
      </w:pPr>
      <w:rPr>
        <w:rFonts w:ascii="Symbol" w:hAnsi="Symbol" w:hint="default"/>
      </w:rPr>
    </w:lvl>
    <w:lvl w:ilvl="4" w:tplc="08070003" w:tentative="1">
      <w:start w:val="1"/>
      <w:numFmt w:val="bullet"/>
      <w:lvlText w:val="o"/>
      <w:lvlJc w:val="left"/>
      <w:pPr>
        <w:ind w:left="3713" w:hanging="360"/>
      </w:pPr>
      <w:rPr>
        <w:rFonts w:ascii="Courier New" w:hAnsi="Courier New" w:cs="Courier New" w:hint="default"/>
      </w:rPr>
    </w:lvl>
    <w:lvl w:ilvl="5" w:tplc="08070005" w:tentative="1">
      <w:start w:val="1"/>
      <w:numFmt w:val="bullet"/>
      <w:lvlText w:val=""/>
      <w:lvlJc w:val="left"/>
      <w:pPr>
        <w:ind w:left="4433" w:hanging="360"/>
      </w:pPr>
      <w:rPr>
        <w:rFonts w:ascii="Wingdings" w:hAnsi="Wingdings" w:hint="default"/>
      </w:rPr>
    </w:lvl>
    <w:lvl w:ilvl="6" w:tplc="08070001" w:tentative="1">
      <w:start w:val="1"/>
      <w:numFmt w:val="bullet"/>
      <w:lvlText w:val=""/>
      <w:lvlJc w:val="left"/>
      <w:pPr>
        <w:ind w:left="5153" w:hanging="360"/>
      </w:pPr>
      <w:rPr>
        <w:rFonts w:ascii="Symbol" w:hAnsi="Symbol" w:hint="default"/>
      </w:rPr>
    </w:lvl>
    <w:lvl w:ilvl="7" w:tplc="08070003" w:tentative="1">
      <w:start w:val="1"/>
      <w:numFmt w:val="bullet"/>
      <w:lvlText w:val="o"/>
      <w:lvlJc w:val="left"/>
      <w:pPr>
        <w:ind w:left="5873" w:hanging="360"/>
      </w:pPr>
      <w:rPr>
        <w:rFonts w:ascii="Courier New" w:hAnsi="Courier New" w:cs="Courier New" w:hint="default"/>
      </w:rPr>
    </w:lvl>
    <w:lvl w:ilvl="8" w:tplc="08070005" w:tentative="1">
      <w:start w:val="1"/>
      <w:numFmt w:val="bullet"/>
      <w:lvlText w:val=""/>
      <w:lvlJc w:val="left"/>
      <w:pPr>
        <w:ind w:left="6593" w:hanging="360"/>
      </w:pPr>
      <w:rPr>
        <w:rFonts w:ascii="Wingdings" w:hAnsi="Wingdings" w:hint="default"/>
      </w:rPr>
    </w:lvl>
  </w:abstractNum>
  <w:abstractNum w:abstractNumId="2" w15:restartNumberingAfterBreak="0">
    <w:nsid w:val="406535A6"/>
    <w:multiLevelType w:val="hybridMultilevel"/>
    <w:tmpl w:val="BF4E82C6"/>
    <w:lvl w:ilvl="0" w:tplc="EC5414F8">
      <w:start w:val="1"/>
      <w:numFmt w:val="decimal"/>
      <w:pStyle w:val="FiBLcmnumrotation"/>
      <w:lvlText w:val="%1."/>
      <w:lvlJc w:val="left"/>
      <w:pPr>
        <w:ind w:left="720" w:hanging="360"/>
      </w:pPr>
      <w:rPr>
        <w:rFonts w:hint="default"/>
        <w:b/>
        <w:i w:val="0"/>
        <w:color w:val="2F6C86"/>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53524358"/>
    <w:multiLevelType w:val="hybridMultilevel"/>
    <w:tmpl w:val="CD6C32E8"/>
    <w:lvl w:ilvl="0" w:tplc="BAF26DE8">
      <w:start w:val="1"/>
      <w:numFmt w:val="bullet"/>
      <w:pStyle w:val="FiBLcmpuces"/>
      <w:lvlText w:val=""/>
      <w:lvlJc w:val="left"/>
      <w:pPr>
        <w:ind w:left="717" w:hanging="360"/>
      </w:pPr>
      <w:rPr>
        <w:rFonts w:ascii="Symbol" w:hAnsi="Symbol" w:hint="default"/>
        <w:color w:val="2F6C86"/>
        <w:em w:val="none"/>
      </w:rPr>
    </w:lvl>
    <w:lvl w:ilvl="1" w:tplc="401CF8A6">
      <w:start w:val="1"/>
      <w:numFmt w:val="bullet"/>
      <w:pStyle w:val="FiBLcmpuces2"/>
      <w:lvlText w:val="-"/>
      <w:lvlJc w:val="left"/>
      <w:pPr>
        <w:ind w:left="1440" w:hanging="360"/>
      </w:pPr>
      <w:rPr>
        <w:rFonts w:ascii="Courier New" w:hAnsi="Courier New" w:hint="default"/>
        <w:b/>
        <w:i w:val="0"/>
        <w:color w:val="2F6C86"/>
      </w:rPr>
    </w:lvl>
    <w:lvl w:ilvl="2" w:tplc="459038C8">
      <w:start w:val="1"/>
      <w:numFmt w:val="bullet"/>
      <w:pStyle w:val="FiBLcmpuces3"/>
      <w:lvlText w:val=""/>
      <w:lvlJc w:val="left"/>
      <w:pPr>
        <w:ind w:left="2160" w:hanging="360"/>
      </w:pPr>
      <w:rPr>
        <w:rFonts w:ascii="Symbol" w:hAnsi="Symbol" w:hint="default"/>
        <w:color w:val="2F6C86"/>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AD"/>
    <w:rsid w:val="00000B18"/>
    <w:rsid w:val="00020433"/>
    <w:rsid w:val="00062187"/>
    <w:rsid w:val="0008157D"/>
    <w:rsid w:val="00097E74"/>
    <w:rsid w:val="000A0CF7"/>
    <w:rsid w:val="000A3B13"/>
    <w:rsid w:val="000B5156"/>
    <w:rsid w:val="000C75D0"/>
    <w:rsid w:val="000D5714"/>
    <w:rsid w:val="000D7A27"/>
    <w:rsid w:val="001050BE"/>
    <w:rsid w:val="00107221"/>
    <w:rsid w:val="001354F8"/>
    <w:rsid w:val="00146772"/>
    <w:rsid w:val="0017068A"/>
    <w:rsid w:val="00171582"/>
    <w:rsid w:val="0018434A"/>
    <w:rsid w:val="001905E5"/>
    <w:rsid w:val="00195EC7"/>
    <w:rsid w:val="001A3130"/>
    <w:rsid w:val="001B3DB5"/>
    <w:rsid w:val="001B4462"/>
    <w:rsid w:val="001D20E9"/>
    <w:rsid w:val="001E1C11"/>
    <w:rsid w:val="001F529F"/>
    <w:rsid w:val="00211862"/>
    <w:rsid w:val="002131D2"/>
    <w:rsid w:val="002203DD"/>
    <w:rsid w:val="0022639B"/>
    <w:rsid w:val="00230924"/>
    <w:rsid w:val="00280674"/>
    <w:rsid w:val="00282ECA"/>
    <w:rsid w:val="002925F1"/>
    <w:rsid w:val="002B1D53"/>
    <w:rsid w:val="002C0814"/>
    <w:rsid w:val="002C3506"/>
    <w:rsid w:val="002C76AB"/>
    <w:rsid w:val="002D757B"/>
    <w:rsid w:val="002D7D78"/>
    <w:rsid w:val="002F586A"/>
    <w:rsid w:val="003150C5"/>
    <w:rsid w:val="0033539D"/>
    <w:rsid w:val="0038680E"/>
    <w:rsid w:val="003A4191"/>
    <w:rsid w:val="003B5BB9"/>
    <w:rsid w:val="003C6406"/>
    <w:rsid w:val="003D1026"/>
    <w:rsid w:val="003D1138"/>
    <w:rsid w:val="003F28EF"/>
    <w:rsid w:val="00400B43"/>
    <w:rsid w:val="0041671F"/>
    <w:rsid w:val="00423C89"/>
    <w:rsid w:val="0044286A"/>
    <w:rsid w:val="00446476"/>
    <w:rsid w:val="00446B90"/>
    <w:rsid w:val="00450F2F"/>
    <w:rsid w:val="00453BD9"/>
    <w:rsid w:val="004570C7"/>
    <w:rsid w:val="00465871"/>
    <w:rsid w:val="0046602F"/>
    <w:rsid w:val="004762FE"/>
    <w:rsid w:val="004807B1"/>
    <w:rsid w:val="004C4067"/>
    <w:rsid w:val="004D6428"/>
    <w:rsid w:val="004F613F"/>
    <w:rsid w:val="00540B0E"/>
    <w:rsid w:val="00540DAE"/>
    <w:rsid w:val="00555C7D"/>
    <w:rsid w:val="00571E3B"/>
    <w:rsid w:val="005762A5"/>
    <w:rsid w:val="00580C94"/>
    <w:rsid w:val="005867AD"/>
    <w:rsid w:val="005938C8"/>
    <w:rsid w:val="0059401F"/>
    <w:rsid w:val="005D0989"/>
    <w:rsid w:val="005E7C3A"/>
    <w:rsid w:val="005F1359"/>
    <w:rsid w:val="005F5A7E"/>
    <w:rsid w:val="00606D0D"/>
    <w:rsid w:val="006410F4"/>
    <w:rsid w:val="006603EE"/>
    <w:rsid w:val="00661678"/>
    <w:rsid w:val="0066529D"/>
    <w:rsid w:val="00675CE0"/>
    <w:rsid w:val="00681E9E"/>
    <w:rsid w:val="00693592"/>
    <w:rsid w:val="006A3769"/>
    <w:rsid w:val="006C581C"/>
    <w:rsid w:val="006C6A5B"/>
    <w:rsid w:val="006D0FF6"/>
    <w:rsid w:val="006D4D11"/>
    <w:rsid w:val="006E612A"/>
    <w:rsid w:val="00712776"/>
    <w:rsid w:val="00727486"/>
    <w:rsid w:val="00736F11"/>
    <w:rsid w:val="007527E2"/>
    <w:rsid w:val="00754508"/>
    <w:rsid w:val="00764E69"/>
    <w:rsid w:val="007666E3"/>
    <w:rsid w:val="00783BE6"/>
    <w:rsid w:val="0078787E"/>
    <w:rsid w:val="00793238"/>
    <w:rsid w:val="007A051D"/>
    <w:rsid w:val="007A0D20"/>
    <w:rsid w:val="007C6110"/>
    <w:rsid w:val="007C7E19"/>
    <w:rsid w:val="007E328D"/>
    <w:rsid w:val="007F162C"/>
    <w:rsid w:val="007F247C"/>
    <w:rsid w:val="00817B94"/>
    <w:rsid w:val="00823157"/>
    <w:rsid w:val="008417D3"/>
    <w:rsid w:val="00861053"/>
    <w:rsid w:val="00865CAB"/>
    <w:rsid w:val="00866E96"/>
    <w:rsid w:val="008719AE"/>
    <w:rsid w:val="00872371"/>
    <w:rsid w:val="008A5E8C"/>
    <w:rsid w:val="008A6B50"/>
    <w:rsid w:val="008D48AD"/>
    <w:rsid w:val="008E2286"/>
    <w:rsid w:val="008E475C"/>
    <w:rsid w:val="008F07E1"/>
    <w:rsid w:val="009109C1"/>
    <w:rsid w:val="00912F05"/>
    <w:rsid w:val="009669B5"/>
    <w:rsid w:val="00981742"/>
    <w:rsid w:val="00982A03"/>
    <w:rsid w:val="00986F71"/>
    <w:rsid w:val="009A0F62"/>
    <w:rsid w:val="009C0B90"/>
    <w:rsid w:val="009C0F61"/>
    <w:rsid w:val="009C7E54"/>
    <w:rsid w:val="009D1172"/>
    <w:rsid w:val="00A033E7"/>
    <w:rsid w:val="00A04F66"/>
    <w:rsid w:val="00A135C6"/>
    <w:rsid w:val="00A20DC6"/>
    <w:rsid w:val="00A365ED"/>
    <w:rsid w:val="00A470F9"/>
    <w:rsid w:val="00A57050"/>
    <w:rsid w:val="00A624F0"/>
    <w:rsid w:val="00A80139"/>
    <w:rsid w:val="00A83320"/>
    <w:rsid w:val="00A87AB4"/>
    <w:rsid w:val="00AA295A"/>
    <w:rsid w:val="00AC6487"/>
    <w:rsid w:val="00B1134C"/>
    <w:rsid w:val="00B116CC"/>
    <w:rsid w:val="00B11B61"/>
    <w:rsid w:val="00B169A5"/>
    <w:rsid w:val="00B25F0B"/>
    <w:rsid w:val="00B273DE"/>
    <w:rsid w:val="00B44024"/>
    <w:rsid w:val="00B5001D"/>
    <w:rsid w:val="00B75ED5"/>
    <w:rsid w:val="00B87D93"/>
    <w:rsid w:val="00B91012"/>
    <w:rsid w:val="00BB6309"/>
    <w:rsid w:val="00BB7AF8"/>
    <w:rsid w:val="00BC05AC"/>
    <w:rsid w:val="00C10742"/>
    <w:rsid w:val="00C14AA4"/>
    <w:rsid w:val="00C50896"/>
    <w:rsid w:val="00C54E7B"/>
    <w:rsid w:val="00C61E1A"/>
    <w:rsid w:val="00C722BA"/>
    <w:rsid w:val="00C725B7"/>
    <w:rsid w:val="00C73E52"/>
    <w:rsid w:val="00C8256D"/>
    <w:rsid w:val="00C93A6C"/>
    <w:rsid w:val="00CC2693"/>
    <w:rsid w:val="00CC3D03"/>
    <w:rsid w:val="00CD4B01"/>
    <w:rsid w:val="00CE1A38"/>
    <w:rsid w:val="00CF4CEC"/>
    <w:rsid w:val="00D01653"/>
    <w:rsid w:val="00D13665"/>
    <w:rsid w:val="00D142E7"/>
    <w:rsid w:val="00D15033"/>
    <w:rsid w:val="00D20589"/>
    <w:rsid w:val="00D25E6E"/>
    <w:rsid w:val="00D7727C"/>
    <w:rsid w:val="00D82FEC"/>
    <w:rsid w:val="00D9543E"/>
    <w:rsid w:val="00DA14CE"/>
    <w:rsid w:val="00DA5D86"/>
    <w:rsid w:val="00DC15AC"/>
    <w:rsid w:val="00DD0000"/>
    <w:rsid w:val="00DE44EA"/>
    <w:rsid w:val="00E06042"/>
    <w:rsid w:val="00E22449"/>
    <w:rsid w:val="00E26382"/>
    <w:rsid w:val="00E32B51"/>
    <w:rsid w:val="00E424EE"/>
    <w:rsid w:val="00E433A3"/>
    <w:rsid w:val="00E64975"/>
    <w:rsid w:val="00E67F80"/>
    <w:rsid w:val="00E71FBF"/>
    <w:rsid w:val="00EB0C91"/>
    <w:rsid w:val="00ED0946"/>
    <w:rsid w:val="00EF726D"/>
    <w:rsid w:val="00F07B60"/>
    <w:rsid w:val="00F12A59"/>
    <w:rsid w:val="00F21C5E"/>
    <w:rsid w:val="00F463DB"/>
    <w:rsid w:val="00F53AA9"/>
    <w:rsid w:val="00F6745D"/>
    <w:rsid w:val="00F7031D"/>
    <w:rsid w:val="00F73377"/>
    <w:rsid w:val="00FC5D43"/>
    <w:rsid w:val="00FC7C7B"/>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49CCB9E"/>
  <w15:docId w15:val="{9C7C66AD-BBA4-4A6D-8F9E-DE2462D00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semiHidden/>
    <w:qFormat/>
    <w:rsid w:val="0038680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FiBL_mm_kopfzeile"/>
    <w:basedOn w:val="Standard"/>
    <w:link w:val="KopfzeileZchn"/>
    <w:uiPriority w:val="99"/>
    <w:semiHidden/>
    <w:rsid w:val="007666E3"/>
    <w:pPr>
      <w:tabs>
        <w:tab w:val="center" w:pos="4536"/>
        <w:tab w:val="right" w:pos="9072"/>
      </w:tabs>
      <w:spacing w:after="0" w:line="240" w:lineRule="auto"/>
      <w:ind w:left="-369"/>
    </w:pPr>
    <w:rPr>
      <w:rFonts w:ascii="Gill Sans MT" w:hAnsi="Gill Sans MT"/>
    </w:rPr>
  </w:style>
  <w:style w:type="character" w:customStyle="1" w:styleId="KopfzeileZchn">
    <w:name w:val="Kopfzeile Zchn"/>
    <w:aliases w:val="FiBL_mm_kopfzeile Zchn"/>
    <w:basedOn w:val="Absatz-Standardschriftart"/>
    <w:link w:val="Kopfzeile"/>
    <w:uiPriority w:val="99"/>
    <w:semiHidden/>
    <w:rsid w:val="00A20DC6"/>
    <w:rPr>
      <w:rFonts w:ascii="Gill Sans MT" w:hAnsi="Gill Sans MT"/>
    </w:rPr>
  </w:style>
  <w:style w:type="paragraph" w:styleId="Fuzeile">
    <w:name w:val="footer"/>
    <w:basedOn w:val="Standard"/>
    <w:link w:val="FuzeileZchn"/>
    <w:uiPriority w:val="99"/>
    <w:semiHidden/>
    <w:rsid w:val="00F53AA9"/>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A20DC6"/>
  </w:style>
  <w:style w:type="table" w:styleId="Tabellenraster">
    <w:name w:val="Table Grid"/>
    <w:basedOn w:val="NormaleTabelle"/>
    <w:uiPriority w:val="39"/>
    <w:rsid w:val="00E43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BLcmstandard">
    <w:name w:val="FiBL_cm_standard"/>
    <w:qFormat/>
    <w:rsid w:val="00675CE0"/>
    <w:pPr>
      <w:spacing w:after="120" w:line="280" w:lineRule="atLeast"/>
    </w:pPr>
    <w:rPr>
      <w:rFonts w:ascii="Palatino Linotype" w:hAnsi="Palatino Linotype"/>
      <w:lang w:val="fr-CH"/>
    </w:rPr>
  </w:style>
  <w:style w:type="character" w:styleId="Hyperlink">
    <w:name w:val="Hyperlink"/>
    <w:basedOn w:val="Absatz-Standardschriftart"/>
    <w:uiPriority w:val="99"/>
    <w:semiHidden/>
    <w:rsid w:val="002925F1"/>
    <w:rPr>
      <w:color w:val="646464" w:themeColor="hyperlink"/>
      <w:u w:val="single"/>
    </w:rPr>
  </w:style>
  <w:style w:type="paragraph" w:customStyle="1" w:styleId="FiBLcmpieddepage">
    <w:name w:val="FiBL_cm_pieddepage"/>
    <w:basedOn w:val="Standard"/>
    <w:qFormat/>
    <w:rsid w:val="00D9543E"/>
    <w:pPr>
      <w:widowControl w:val="0"/>
      <w:autoSpaceDE w:val="0"/>
      <w:autoSpaceDN w:val="0"/>
      <w:spacing w:after="0" w:line="240" w:lineRule="atLeast"/>
      <w:ind w:right="-569"/>
    </w:pPr>
    <w:rPr>
      <w:rFonts w:ascii="Gill Sans MT" w:eastAsia="Sitka Text" w:hAnsi="Gill Sans MT" w:cs="Sitka Text"/>
      <w:color w:val="231F20"/>
      <w:w w:val="105"/>
      <w:sz w:val="20"/>
      <w:lang w:val="fr-CH" w:eastAsia="en-US"/>
    </w:rPr>
  </w:style>
  <w:style w:type="paragraph" w:styleId="Sprechblasentext">
    <w:name w:val="Balloon Text"/>
    <w:basedOn w:val="Standard"/>
    <w:link w:val="SprechblasentextZchn"/>
    <w:uiPriority w:val="99"/>
    <w:semiHidden/>
    <w:rsid w:val="00A135C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20DC6"/>
    <w:rPr>
      <w:rFonts w:ascii="Segoe UI" w:hAnsi="Segoe UI" w:cs="Segoe UI"/>
      <w:sz w:val="18"/>
      <w:szCs w:val="18"/>
    </w:rPr>
  </w:style>
  <w:style w:type="paragraph" w:customStyle="1" w:styleId="FiBLcmpuces">
    <w:name w:val="FiBL_cm_puces"/>
    <w:basedOn w:val="FiBLcmstandard"/>
    <w:qFormat/>
    <w:rsid w:val="00C722BA"/>
    <w:pPr>
      <w:numPr>
        <w:numId w:val="1"/>
      </w:numPr>
      <w:ind w:left="426" w:hanging="284"/>
    </w:pPr>
  </w:style>
  <w:style w:type="paragraph" w:customStyle="1" w:styleId="FiBLcmpuces2">
    <w:name w:val="FiBL_cm_puces_2"/>
    <w:basedOn w:val="FiBLcmpuces"/>
    <w:qFormat/>
    <w:rsid w:val="001354F8"/>
    <w:pPr>
      <w:numPr>
        <w:ilvl w:val="1"/>
      </w:numPr>
      <w:ind w:left="568" w:hanging="284"/>
    </w:pPr>
  </w:style>
  <w:style w:type="paragraph" w:customStyle="1" w:styleId="FiBLcmpuces3">
    <w:name w:val="FiBL_cm_puces_3"/>
    <w:basedOn w:val="FiBLcmpuces"/>
    <w:qFormat/>
    <w:rsid w:val="00446476"/>
    <w:pPr>
      <w:numPr>
        <w:ilvl w:val="2"/>
      </w:numPr>
      <w:ind w:left="709" w:hanging="284"/>
    </w:pPr>
  </w:style>
  <w:style w:type="paragraph" w:customStyle="1" w:styleId="FiBLcmnumrotation">
    <w:name w:val="FiBL_cm_numérotation"/>
    <w:basedOn w:val="FiBLcmstandard"/>
    <w:qFormat/>
    <w:rsid w:val="007F247C"/>
    <w:pPr>
      <w:numPr>
        <w:numId w:val="3"/>
      </w:numPr>
      <w:ind w:left="426" w:hanging="284"/>
    </w:pPr>
  </w:style>
  <w:style w:type="character" w:styleId="Platzhaltertext">
    <w:name w:val="Placeholder Text"/>
    <w:basedOn w:val="Absatz-Standardschriftart"/>
    <w:uiPriority w:val="99"/>
    <w:semiHidden/>
    <w:rsid w:val="00540B0E"/>
    <w:rPr>
      <w:color w:val="808080"/>
    </w:rPr>
  </w:style>
  <w:style w:type="paragraph" w:customStyle="1" w:styleId="FiBLcmtitre">
    <w:name w:val="FiBL_cm_titre"/>
    <w:basedOn w:val="FiBLcmstandard"/>
    <w:qFormat/>
    <w:rsid w:val="001D20E9"/>
    <w:pPr>
      <w:spacing w:before="240" w:after="240"/>
    </w:pPr>
    <w:rPr>
      <w:rFonts w:ascii="Gill Sans MT" w:hAnsi="Gill Sans MT"/>
      <w:b/>
      <w:sz w:val="34"/>
    </w:rPr>
  </w:style>
  <w:style w:type="paragraph" w:customStyle="1" w:styleId="FiBLcmlead">
    <w:name w:val="FiBL_cm_lead"/>
    <w:basedOn w:val="FiBLcmstandard"/>
    <w:next w:val="FiBLcmstandard"/>
    <w:qFormat/>
    <w:rsid w:val="001D20E9"/>
    <w:pPr>
      <w:spacing w:after="200"/>
    </w:pPr>
    <w:rPr>
      <w:rFonts w:ascii="Gill Sans MT" w:hAnsi="Gill Sans MT"/>
      <w:b/>
    </w:rPr>
  </w:style>
  <w:style w:type="paragraph" w:customStyle="1" w:styleId="FiBLcmintertitre">
    <w:name w:val="FiBL_cm_intertitre"/>
    <w:basedOn w:val="FiBLcmstandard"/>
    <w:qFormat/>
    <w:rsid w:val="00D9543E"/>
    <w:pPr>
      <w:keepNext/>
      <w:spacing w:before="360"/>
    </w:pPr>
    <w:rPr>
      <w:rFonts w:ascii="Gill Sans MT" w:hAnsi="Gill Sans MT"/>
      <w:b/>
    </w:rPr>
  </w:style>
  <w:style w:type="paragraph" w:customStyle="1" w:styleId="FiBLcminfosuppl">
    <w:name w:val="FiBL_cm_info_suppl"/>
    <w:basedOn w:val="FiBLcmstandard"/>
    <w:qFormat/>
    <w:rsid w:val="003F28EF"/>
    <w:pPr>
      <w:keepNext/>
      <w:spacing w:before="400"/>
    </w:pPr>
    <w:rPr>
      <w:rFonts w:ascii="Gill Sans MT" w:hAnsi="Gill Sans MT"/>
      <w:b/>
    </w:rPr>
  </w:style>
  <w:style w:type="paragraph" w:customStyle="1" w:styleId="FiBLcmbibliographie">
    <w:name w:val="FiBL_cm_bibliographie"/>
    <w:basedOn w:val="FiBLcmstandard"/>
    <w:qFormat/>
    <w:rsid w:val="006C6A5B"/>
    <w:pPr>
      <w:spacing w:before="40" w:after="40" w:line="240" w:lineRule="auto"/>
      <w:ind w:left="425" w:hanging="425"/>
    </w:pPr>
    <w:rPr>
      <w:sz w:val="20"/>
    </w:rPr>
  </w:style>
  <w:style w:type="paragraph" w:customStyle="1" w:styleId="FiBLcmnumropage">
    <w:name w:val="FiBL_cm_numéro_page"/>
    <w:basedOn w:val="FiBLcmpieddepage"/>
    <w:qFormat/>
    <w:rsid w:val="00DA14CE"/>
  </w:style>
  <w:style w:type="paragraph" w:customStyle="1" w:styleId="FiBLcmannotationpuces">
    <w:name w:val="FiBL_cm_annotation_puces"/>
    <w:basedOn w:val="FiBLcmpuces"/>
    <w:qFormat/>
    <w:rsid w:val="00B5001D"/>
    <w:pPr>
      <w:numPr>
        <w:numId w:val="4"/>
      </w:numPr>
      <w:pBdr>
        <w:top w:val="single" w:sz="48" w:space="1" w:color="E1EDF2"/>
        <w:left w:val="single" w:sz="48" w:space="4" w:color="E1EDF2"/>
        <w:bottom w:val="single" w:sz="48" w:space="1" w:color="E1EDF2"/>
        <w:right w:val="single" w:sz="48" w:space="4" w:color="E1EDF2"/>
      </w:pBdr>
      <w:shd w:val="clear" w:color="auto" w:fill="E1EDF2"/>
      <w:spacing w:after="100" w:line="240" w:lineRule="auto"/>
      <w:ind w:left="426" w:right="170" w:hanging="284"/>
    </w:pPr>
    <w:rPr>
      <w:rFonts w:ascii="Gill Sans MT" w:hAnsi="Gill Sans MT"/>
    </w:rPr>
  </w:style>
  <w:style w:type="paragraph" w:customStyle="1" w:styleId="FiBLcmannotation">
    <w:name w:val="FiBL_cm_annotation"/>
    <w:basedOn w:val="Standard"/>
    <w:qFormat/>
    <w:rsid w:val="006C6A5B"/>
    <w:pPr>
      <w:pBdr>
        <w:top w:val="single" w:sz="48" w:space="1" w:color="E1EDF2"/>
        <w:left w:val="single" w:sz="48" w:space="4" w:color="E1EDF2"/>
        <w:bottom w:val="single" w:sz="48" w:space="1" w:color="E1EDF2"/>
        <w:right w:val="single" w:sz="48" w:space="4" w:color="E1EDF2"/>
      </w:pBdr>
      <w:shd w:val="clear" w:color="auto" w:fill="E1EDF2"/>
      <w:spacing w:after="120" w:line="280" w:lineRule="atLeast"/>
      <w:ind w:left="142" w:right="170"/>
    </w:pPr>
    <w:rPr>
      <w:rFonts w:ascii="Gill Sans MT" w:hAnsi="Gill Sans MT"/>
      <w:lang w:val="fr-CH"/>
    </w:rPr>
  </w:style>
  <w:style w:type="paragraph" w:customStyle="1" w:styleId="FiBLcmannotationtitre">
    <w:name w:val="FiBL_cm_annotation_titre"/>
    <w:basedOn w:val="FiBLcminfosuppl"/>
    <w:qFormat/>
    <w:rsid w:val="00171582"/>
    <w:pPr>
      <w:pBdr>
        <w:top w:val="single" w:sz="48" w:space="1" w:color="E1EDF2"/>
        <w:left w:val="single" w:sz="48" w:space="4" w:color="E1EDF2"/>
        <w:bottom w:val="single" w:sz="48" w:space="1" w:color="E1EDF2"/>
        <w:right w:val="single" w:sz="48" w:space="4" w:color="E1EDF2"/>
      </w:pBdr>
      <w:shd w:val="clear" w:color="auto" w:fill="E1EDF2"/>
      <w:ind w:left="142" w:right="170"/>
    </w:pPr>
  </w:style>
  <w:style w:type="character" w:styleId="BesuchterLink">
    <w:name w:val="FollowedHyperlink"/>
    <w:basedOn w:val="Absatz-Standardschriftart"/>
    <w:uiPriority w:val="99"/>
    <w:semiHidden/>
    <w:rsid w:val="00E424EE"/>
    <w:rPr>
      <w:color w:val="969696" w:themeColor="followedHyperlink"/>
      <w:u w:val="single"/>
    </w:rPr>
  </w:style>
  <w:style w:type="character" w:styleId="NichtaufgelsteErwhnung">
    <w:name w:val="Unresolved Mention"/>
    <w:basedOn w:val="Absatz-Standardschriftart"/>
    <w:uiPriority w:val="99"/>
    <w:semiHidden/>
    <w:unhideWhenUsed/>
    <w:rsid w:val="001B4462"/>
    <w:rPr>
      <w:color w:val="605E5C"/>
      <w:shd w:val="clear" w:color="auto" w:fill="E1DFDD"/>
    </w:rPr>
  </w:style>
  <w:style w:type="character" w:customStyle="1" w:styleId="ListLabel24">
    <w:name w:val="ListLabel 24"/>
    <w:qFormat/>
    <w:rsid w:val="001A3130"/>
    <w:rPr>
      <w:rFonts w:ascii="AvenirNext LT Pro Cn" w:hAnsi="AvenirNext LT Pro Cn" w:cstheme="minorHAnsi" w:hint="default"/>
    </w:rPr>
  </w:style>
  <w:style w:type="paragraph" w:customStyle="1" w:styleId="FiBLmmzusatzinfo">
    <w:name w:val="FiBL_mm_zusatzinfo"/>
    <w:basedOn w:val="Standard"/>
    <w:next w:val="Standard"/>
    <w:qFormat/>
    <w:rsid w:val="00282ECA"/>
    <w:pPr>
      <w:keepNext/>
      <w:spacing w:before="400" w:after="120" w:line="280" w:lineRule="atLeast"/>
    </w:pPr>
    <w:rPr>
      <w:rFonts w:ascii="Gill Sans MT" w:hAnsi="Gill Sans MT"/>
      <w:b/>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68798">
      <w:bodyDiv w:val="1"/>
      <w:marLeft w:val="0"/>
      <w:marRight w:val="0"/>
      <w:marTop w:val="0"/>
      <w:marBottom w:val="0"/>
      <w:divBdr>
        <w:top w:val="none" w:sz="0" w:space="0" w:color="auto"/>
        <w:left w:val="none" w:sz="0" w:space="0" w:color="auto"/>
        <w:bottom w:val="none" w:sz="0" w:space="0" w:color="auto"/>
        <w:right w:val="none" w:sz="0" w:space="0" w:color="auto"/>
      </w:divBdr>
    </w:div>
    <w:div w:id="173211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fibl.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biobarometer.fibl.org/download.html" TargetMode="External"/><Relationship Id="rId2" Type="http://schemas.openxmlformats.org/officeDocument/2006/relationships/customXml" Target="../customXml/item2.xml"/><Relationship Id="rId16" Type="http://schemas.openxmlformats.org/officeDocument/2006/relationships/hyperlink" Target="https://www.fibl.org/fr/infotheque/media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hanna.stolz@fibl.org"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raina.siragna@fibl.org"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fibl.org/" TargetMode="External"/><Relationship Id="rId1" Type="http://schemas.openxmlformats.org/officeDocument/2006/relationships/hyperlink" Target="mailto:info.suisse@fib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Benutzerdefiniert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646464"/>
      </a:hlink>
      <a:folHlink>
        <a:srgbClr val="96969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ategorie xmlns="dd18740c-b141-4d05-9751-e9f3dcf7e76f">Medienmitteilung</Kategorie>
    <Sprache xmlns="dd18740c-b141-4d05-9751-e9f3dcf7e76f">Französisch</Sprache>
    <FiBL_x002d_Standort xmlns="926ccd4c-651f-4ccc-af87-3950eef9fdad">FiBL CH</FiBL_x002d_Standort>
    <TranslationStateDownloadLink xmlns="http://schemas.microsoft.com/sharepoint/v3">
      <Url xsi:nil="true"/>
      <Description xsi:nil="true"/>
    </TranslationStateDownloadLink>
    <Download_x0020_a_x0020_copy xmlns="926ccd4c-651f-4ccc-af87-3950eef9fda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38CE18F8DE21746B13E196ECDFF44C0" ma:contentTypeVersion="5" ma:contentTypeDescription="Create a new document." ma:contentTypeScope="" ma:versionID="3866447ef4b274d91ae53c0e04d000d7">
  <xsd:schema xmlns:xsd="http://www.w3.org/2001/XMLSchema" xmlns:xs="http://www.w3.org/2001/XMLSchema" xmlns:p="http://schemas.microsoft.com/office/2006/metadata/properties" xmlns:ns1="http://schemas.microsoft.com/sharepoint/v3" xmlns:ns2="dd18740c-b141-4d05-9751-e9f3dcf7e76f" xmlns:ns3="926ccd4c-651f-4ccc-af87-3950eef9fdad" targetNamespace="http://schemas.microsoft.com/office/2006/metadata/properties" ma:root="true" ma:fieldsID="98267f331064875f993f9785cd354c41" ns1:_="" ns2:_="" ns3:_="">
    <xsd:import namespace="http://schemas.microsoft.com/sharepoint/v3"/>
    <xsd:import namespace="dd18740c-b141-4d05-9751-e9f3dcf7e76f"/>
    <xsd:import namespace="926ccd4c-651f-4ccc-af87-3950eef9fdad"/>
    <xsd:element name="properties">
      <xsd:complexType>
        <xsd:sequence>
          <xsd:element name="documentManagement">
            <xsd:complexType>
              <xsd:all>
                <xsd:element ref="ns2:Kategorie"/>
                <xsd:element ref="ns2:Sprache" minOccurs="0"/>
                <xsd:element ref="ns3:FiBL_x002d_Standort" minOccurs="0"/>
                <xsd:element ref="ns1:TranslationStateDownloadLink" minOccurs="0"/>
                <xsd:element ref="ns3:Download_x0020_a_x0020_cop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ranslationStateDownloadLink" ma:index="11" nillable="true" ma:displayName="Downloadlink" ma:internalName="TranslationStateDownload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18740c-b141-4d05-9751-e9f3dcf7e76f" elementFormDefault="qualified">
    <xsd:import namespace="http://schemas.microsoft.com/office/2006/documentManagement/types"/>
    <xsd:import namespace="http://schemas.microsoft.com/office/infopath/2007/PartnerControls"/>
    <xsd:element name="Kategorie" ma:index="2" ma:displayName="Kategorie" ma:default="Bericht" ma:format="Dropdown" ma:indexed="true" ma:internalName="Kategorie">
      <xsd:simpleType>
        <xsd:restriction base="dms:Choice">
          <xsd:enumeration value="Bericht"/>
          <xsd:enumeration value="Brief/ Fax"/>
          <xsd:enumeration value="Corporate Identity (CI)"/>
          <xsd:enumeration value="EU-Bericht"/>
          <xsd:enumeration value="Folie"/>
          <xsd:enumeration value="Kurse"/>
          <xsd:enumeration value="Logo"/>
          <xsd:enumeration value="Medienmitteilung"/>
          <xsd:enumeration value="Ordnerrücken"/>
          <xsd:enumeration value="Praktikums-/ Semester- /Diplomarbeiten"/>
          <xsd:enumeration value="Sonderformate"/>
          <xsd:enumeration value="Protokolle"/>
          <xsd:enumeration value="Vertrag"/>
        </xsd:restriction>
      </xsd:simpleType>
    </xsd:element>
    <xsd:element name="Sprache" ma:index="3" nillable="true" ma:displayName="Sprache" ma:default="Deutsch" ma:format="Dropdown" ma:internalName="Sprache">
      <xsd:simpleType>
        <xsd:restriction base="dms:Choice">
          <xsd:enumeration value="Deutsch"/>
          <xsd:enumeration value="Englisch"/>
          <xsd:enumeration value="Französisch"/>
          <xsd:enumeration value="Italienisch"/>
          <xsd:enumeration value="Spanisch"/>
        </xsd:restriction>
      </xsd:simpleType>
    </xsd:element>
  </xsd:schema>
  <xsd:schema xmlns:xsd="http://www.w3.org/2001/XMLSchema" xmlns:xs="http://www.w3.org/2001/XMLSchema" xmlns:dms="http://schemas.microsoft.com/office/2006/documentManagement/types" xmlns:pc="http://schemas.microsoft.com/office/infopath/2007/PartnerControls" targetNamespace="926ccd4c-651f-4ccc-af87-3950eef9fdad" elementFormDefault="qualified">
    <xsd:import namespace="http://schemas.microsoft.com/office/2006/documentManagement/types"/>
    <xsd:import namespace="http://schemas.microsoft.com/office/infopath/2007/PartnerControls"/>
    <xsd:element name="FiBL_x002d_Standort" ma:index="4" nillable="true" ma:displayName="FiBL-Standort" ma:default="All FiBL" ma:format="Dropdown" ma:internalName="FiBL_x002d_Standort">
      <xsd:simpleType>
        <xsd:restriction base="dms:Choice">
          <xsd:enumeration value="All FiBL"/>
          <xsd:enumeration value="FiBL CH"/>
          <xsd:enumeration value="FiBL DE"/>
          <xsd:enumeration value="FiBL AT"/>
          <xsd:enumeration value="FiBL EU"/>
          <xsd:enumeration value="Team FiBL France"/>
        </xsd:restriction>
      </xsd:simpleType>
    </xsd:element>
    <xsd:element name="Download_x0020_a_x0020_copy" ma:index="12" nillable="true" ma:displayName="Download a copy" ma:internalName="Download_x0020_a_x0020_cop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DD427-803B-4E10-BA58-8FBF25849C74}">
  <ds:schemaRefs>
    <ds:schemaRef ds:uri="http://purl.org/dc/terms/"/>
    <ds:schemaRef ds:uri="http://www.w3.org/XML/1998/namespace"/>
    <ds:schemaRef ds:uri="http://schemas.microsoft.com/office/2006/documentManagement/types"/>
    <ds:schemaRef ds:uri="dd18740c-b141-4d05-9751-e9f3dcf7e76f"/>
    <ds:schemaRef ds:uri="http://purl.org/dc/dcmitype/"/>
    <ds:schemaRef ds:uri="http://schemas.openxmlformats.org/package/2006/metadata/core-properties"/>
    <ds:schemaRef ds:uri="http://schemas.microsoft.com/office/infopath/2007/PartnerControls"/>
    <ds:schemaRef ds:uri="http://schemas.microsoft.com/office/2006/metadata/properties"/>
    <ds:schemaRef ds:uri="926ccd4c-651f-4ccc-af87-3950eef9fdad"/>
    <ds:schemaRef ds:uri="http://schemas.microsoft.com/sharepoint/v3"/>
    <ds:schemaRef ds:uri="http://purl.org/dc/elements/1.1/"/>
  </ds:schemaRefs>
</ds:datastoreItem>
</file>

<file path=customXml/itemProps2.xml><?xml version="1.0" encoding="utf-8"?>
<ds:datastoreItem xmlns:ds="http://schemas.openxmlformats.org/officeDocument/2006/customXml" ds:itemID="{D139F945-39F4-43F6-8C0A-C5A1DABB3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18740c-b141-4d05-9751-e9f3dcf7e76f"/>
    <ds:schemaRef ds:uri="926ccd4c-651f-4ccc-af87-3950eef9fd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F30E7E-649D-4B58-860E-0C5881E53212}">
  <ds:schemaRefs>
    <ds:schemaRef ds:uri="http://schemas.microsoft.com/sharepoint/v3/contenttype/forms"/>
  </ds:schemaRefs>
</ds:datastoreItem>
</file>

<file path=customXml/itemProps4.xml><?xml version="1.0" encoding="utf-8"?>
<ds:datastoreItem xmlns:ds="http://schemas.openxmlformats.org/officeDocument/2006/customXml" ds:itemID="{7178CC96-2BF0-41CF-B975-B15100FF9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664</Words>
  <Characters>4186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Communique_aux_medias_23-03-21_Biobarometer</vt:lpstr>
    </vt:vector>
  </TitlesOfParts>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Communique_aux_medias_23-03-21_Biobarometer</dc:title>
  <dc:creator>Basler Andreas</dc:creator>
  <cp:lastModifiedBy>Bartsch Sofia</cp:lastModifiedBy>
  <cp:revision>17</cp:revision>
  <cp:lastPrinted>2023-03-21T10:49:00Z</cp:lastPrinted>
  <dcterms:created xsi:type="dcterms:W3CDTF">2022-06-27T12:20:00Z</dcterms:created>
  <dcterms:modified xsi:type="dcterms:W3CDTF">2023-03-21T10:50:00Z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0x010100038CE18F8DE21746B13E196ECDFF44C0</vt:lpwstr>
  </property>
</Properties>
</file>