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E1671" w14:textId="49DC1531" w:rsidR="004762FE" w:rsidRPr="004441B5" w:rsidRDefault="00871815" w:rsidP="00453BD9">
      <w:pPr>
        <w:pStyle w:val="FiBLmrsubheader"/>
        <w:rPr>
          <w:lang w:val="fr-FR"/>
        </w:rPr>
        <w:sectPr w:rsidR="004762FE" w:rsidRPr="004441B5"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4441B5">
        <w:rPr>
          <w:lang w:val="fr-FR"/>
        </w:rPr>
        <w:t>Communiqué aux médias du</w:t>
      </w:r>
      <w:r w:rsidR="00DB3900">
        <w:rPr>
          <w:lang w:val="fr-FR"/>
        </w:rPr>
        <w:t xml:space="preserve"> </w:t>
      </w:r>
      <w:r w:rsidR="00B221D3" w:rsidRPr="004441B5">
        <w:rPr>
          <w:lang w:val="fr-FR"/>
        </w:rPr>
        <w:t>12</w:t>
      </w:r>
      <w:r w:rsidRPr="004441B5">
        <w:rPr>
          <w:lang w:val="fr-FR"/>
        </w:rPr>
        <w:t> février</w:t>
      </w:r>
      <w:r w:rsidR="00B221D3" w:rsidRPr="004441B5">
        <w:rPr>
          <w:lang w:val="fr-FR"/>
        </w:rPr>
        <w:t xml:space="preserve"> 2020</w:t>
      </w:r>
    </w:p>
    <w:p w14:paraId="520FCB4F" w14:textId="5E83DFBC" w:rsidR="008100C8" w:rsidRPr="00626731" w:rsidRDefault="00834AF5" w:rsidP="008100C8">
      <w:pPr>
        <w:pStyle w:val="FiBLmrtitle"/>
        <w:rPr>
          <w:lang w:val="fr-FR"/>
        </w:rPr>
      </w:pPr>
      <w:r w:rsidRPr="00626731">
        <w:rPr>
          <w:lang w:val="fr-FR"/>
        </w:rPr>
        <w:t>Le bio toujours en croissance</w:t>
      </w:r>
      <w:r w:rsidR="0012203B" w:rsidRPr="00626731">
        <w:rPr>
          <w:lang w:val="fr-FR"/>
        </w:rPr>
        <w:t xml:space="preserve"> en Europe</w:t>
      </w:r>
    </w:p>
    <w:p w14:paraId="42F782DF" w14:textId="535F4268" w:rsidR="00DE44EA" w:rsidRPr="00834AF5" w:rsidRDefault="00834AF5" w:rsidP="008100C8">
      <w:pPr>
        <w:pStyle w:val="FiBLmrtitle"/>
        <w:rPr>
          <w:sz w:val="30"/>
          <w:szCs w:val="30"/>
          <w:lang w:val="fr-FR"/>
        </w:rPr>
      </w:pPr>
      <w:r w:rsidRPr="00834AF5">
        <w:rPr>
          <w:sz w:val="30"/>
          <w:szCs w:val="30"/>
          <w:lang w:val="fr-FR"/>
        </w:rPr>
        <w:t xml:space="preserve">Le </w:t>
      </w:r>
      <w:r w:rsidRPr="009750FD">
        <w:rPr>
          <w:sz w:val="30"/>
          <w:szCs w:val="30"/>
          <w:lang w:val="fr-FR"/>
        </w:rPr>
        <w:t>marché bio</w:t>
      </w:r>
      <w:r w:rsidR="0060078C" w:rsidRPr="009750FD">
        <w:rPr>
          <w:sz w:val="30"/>
          <w:szCs w:val="30"/>
          <w:lang w:val="fr-FR"/>
        </w:rPr>
        <w:t xml:space="preserve"> </w:t>
      </w:r>
      <w:r w:rsidR="009750FD" w:rsidRPr="009750FD">
        <w:rPr>
          <w:sz w:val="30"/>
          <w:szCs w:val="30"/>
          <w:lang w:val="fr-FR"/>
        </w:rPr>
        <w:t xml:space="preserve">dépasse les </w:t>
      </w:r>
      <w:r w:rsidR="004814C4" w:rsidRPr="009750FD">
        <w:rPr>
          <w:sz w:val="30"/>
          <w:szCs w:val="30"/>
          <w:lang w:val="fr-FR"/>
        </w:rPr>
        <w:t>40,</w:t>
      </w:r>
      <w:r w:rsidR="00C27440" w:rsidRPr="009750FD">
        <w:rPr>
          <w:sz w:val="30"/>
          <w:szCs w:val="30"/>
          <w:lang w:val="fr-FR"/>
        </w:rPr>
        <w:t>7</w:t>
      </w:r>
      <w:r w:rsidRPr="009750FD">
        <w:rPr>
          <w:sz w:val="30"/>
          <w:szCs w:val="30"/>
          <w:lang w:val="fr-FR"/>
        </w:rPr>
        <w:t> </w:t>
      </w:r>
      <w:r w:rsidRPr="00834AF5">
        <w:rPr>
          <w:sz w:val="30"/>
          <w:szCs w:val="30"/>
          <w:lang w:val="fr-FR"/>
        </w:rPr>
        <w:t>milliards d’euro</w:t>
      </w:r>
      <w:r>
        <w:rPr>
          <w:sz w:val="30"/>
          <w:szCs w:val="30"/>
          <w:lang w:val="fr-FR"/>
        </w:rPr>
        <w:t>s</w:t>
      </w:r>
    </w:p>
    <w:p w14:paraId="2C647171" w14:textId="2225DFEC" w:rsidR="008100C8" w:rsidRPr="00293A28" w:rsidRDefault="00E47B86" w:rsidP="005909ED">
      <w:pPr>
        <w:pStyle w:val="FiBLmrstandard"/>
        <w:keepNext/>
        <w:spacing w:before="120" w:line="240" w:lineRule="auto"/>
        <w:rPr>
          <w:rFonts w:ascii="Gill Sans MT" w:hAnsi="Gill Sans MT"/>
          <w:b/>
          <w:lang w:val="fr-FR"/>
        </w:rPr>
      </w:pPr>
      <w:r w:rsidRPr="00E47B86">
        <w:rPr>
          <w:rFonts w:ascii="Gill Sans MT" w:hAnsi="Gill Sans MT"/>
          <w:b/>
          <w:lang w:val="fr-FR"/>
        </w:rPr>
        <w:t>Le marché bio en Europe ne cesse de cro</w:t>
      </w:r>
      <w:r w:rsidRPr="00E47B86">
        <w:rPr>
          <w:rFonts w:ascii="Calibri" w:hAnsi="Calibri"/>
          <w:b/>
          <w:lang w:val="fr-FR"/>
        </w:rPr>
        <w:t>î</w:t>
      </w:r>
      <w:r w:rsidRPr="00E47B86">
        <w:rPr>
          <w:rFonts w:ascii="Gill Sans MT" w:hAnsi="Gill Sans MT"/>
          <w:b/>
          <w:lang w:val="fr-FR"/>
        </w:rPr>
        <w:t xml:space="preserve">tre: en 2018, </w:t>
      </w:r>
      <w:r w:rsidR="00CD6998" w:rsidRPr="00E47B86">
        <w:rPr>
          <w:rFonts w:ascii="Gill Sans MT" w:hAnsi="Gill Sans MT"/>
          <w:b/>
          <w:lang w:val="fr-FR"/>
        </w:rPr>
        <w:t>il</w:t>
      </w:r>
      <w:r w:rsidR="00CD6998">
        <w:rPr>
          <w:rFonts w:ascii="Gill Sans MT" w:hAnsi="Gill Sans MT"/>
          <w:b/>
          <w:lang w:val="fr-FR"/>
        </w:rPr>
        <w:t xml:space="preserve"> </w:t>
      </w:r>
      <w:r w:rsidR="00CD6998" w:rsidRPr="00E47B86">
        <w:rPr>
          <w:rFonts w:ascii="Gill Sans MT" w:hAnsi="Gill Sans MT"/>
          <w:b/>
          <w:lang w:val="fr-FR"/>
        </w:rPr>
        <w:t>a</w:t>
      </w:r>
      <w:r w:rsidR="002E7102">
        <w:rPr>
          <w:rFonts w:ascii="Gill Sans MT" w:hAnsi="Gill Sans MT"/>
          <w:b/>
          <w:lang w:val="fr-FR"/>
        </w:rPr>
        <w:t xml:space="preserve"> augmenté de </w:t>
      </w:r>
      <w:r w:rsidR="00C27440" w:rsidRPr="00E47B86">
        <w:rPr>
          <w:rFonts w:ascii="Gill Sans MT" w:hAnsi="Gill Sans MT"/>
          <w:b/>
          <w:lang w:val="fr-FR"/>
        </w:rPr>
        <w:t>8</w:t>
      </w:r>
      <w:r w:rsidR="00812E0B">
        <w:rPr>
          <w:rFonts w:ascii="Gill Sans MT" w:hAnsi="Gill Sans MT"/>
          <w:b/>
          <w:lang w:val="fr-FR"/>
        </w:rPr>
        <w:t> </w:t>
      </w:r>
      <w:r w:rsidR="004339A3">
        <w:rPr>
          <w:rFonts w:ascii="Gill Sans MT" w:hAnsi="Gill Sans MT"/>
          <w:b/>
          <w:lang w:val="fr-FR"/>
        </w:rPr>
        <w:t>%</w:t>
      </w:r>
      <w:r w:rsidR="002E7102">
        <w:rPr>
          <w:rFonts w:ascii="Gill Sans MT" w:hAnsi="Gill Sans MT"/>
          <w:b/>
          <w:lang w:val="fr-FR"/>
        </w:rPr>
        <w:t xml:space="preserve"> pour atteindre</w:t>
      </w:r>
      <w:r w:rsidR="008100C8" w:rsidRPr="00E47B86">
        <w:rPr>
          <w:rFonts w:ascii="Gill Sans MT" w:hAnsi="Gill Sans MT"/>
          <w:b/>
          <w:lang w:val="fr-FR"/>
        </w:rPr>
        <w:t xml:space="preserve"> </w:t>
      </w:r>
      <w:r w:rsidR="00C27440" w:rsidRPr="00E47B86">
        <w:rPr>
          <w:rFonts w:ascii="Gill Sans MT" w:hAnsi="Gill Sans MT"/>
          <w:b/>
          <w:lang w:val="fr-FR"/>
        </w:rPr>
        <w:t>40,7</w:t>
      </w:r>
      <w:r w:rsidR="00022073" w:rsidRPr="00E47B86">
        <w:rPr>
          <w:rFonts w:ascii="Gill Sans MT" w:hAnsi="Gill Sans MT"/>
          <w:b/>
          <w:lang w:val="fr-FR"/>
        </w:rPr>
        <w:t> </w:t>
      </w:r>
      <w:r w:rsidR="002E7102">
        <w:rPr>
          <w:rFonts w:ascii="Gill Sans MT" w:hAnsi="Gill Sans MT"/>
          <w:b/>
          <w:lang w:val="fr-FR"/>
        </w:rPr>
        <w:t>m</w:t>
      </w:r>
      <w:r w:rsidR="008100C8" w:rsidRPr="00E47B86">
        <w:rPr>
          <w:rFonts w:ascii="Gill Sans MT" w:hAnsi="Gill Sans MT"/>
          <w:b/>
          <w:lang w:val="fr-FR"/>
        </w:rPr>
        <w:t>illiard</w:t>
      </w:r>
      <w:r w:rsidR="002E7102">
        <w:rPr>
          <w:rFonts w:ascii="Gill Sans MT" w:hAnsi="Gill Sans MT"/>
          <w:b/>
          <w:lang w:val="fr-FR"/>
        </w:rPr>
        <w:t>s d’euros</w:t>
      </w:r>
      <w:r w:rsidR="008100C8" w:rsidRPr="00E47B86">
        <w:rPr>
          <w:rFonts w:ascii="Gill Sans MT" w:hAnsi="Gill Sans MT"/>
          <w:b/>
          <w:lang w:val="fr-FR"/>
        </w:rPr>
        <w:t xml:space="preserve">. </w:t>
      </w:r>
      <w:r w:rsidR="00980CCC" w:rsidRPr="006163C2">
        <w:rPr>
          <w:rFonts w:ascii="Gill Sans MT" w:hAnsi="Gill Sans MT"/>
          <w:b/>
          <w:lang w:val="fr-FR"/>
        </w:rPr>
        <w:t>Bon nombre des</w:t>
      </w:r>
      <w:r w:rsidR="00980CCC" w:rsidRPr="00980CCC">
        <w:rPr>
          <w:rFonts w:ascii="Gill Sans MT" w:hAnsi="Gill Sans MT"/>
          <w:b/>
          <w:lang w:val="fr-FR"/>
        </w:rPr>
        <w:t xml:space="preserve"> grands </w:t>
      </w:r>
      <w:r w:rsidR="00980CCC" w:rsidRPr="004950D8">
        <w:rPr>
          <w:rFonts w:ascii="Gill Sans MT" w:hAnsi="Gill Sans MT"/>
          <w:b/>
          <w:lang w:val="fr-FR"/>
        </w:rPr>
        <w:t>marchés</w:t>
      </w:r>
      <w:r w:rsidR="006163C2" w:rsidRPr="004950D8">
        <w:rPr>
          <w:rFonts w:ascii="Gill Sans MT" w:hAnsi="Gill Sans MT"/>
          <w:b/>
          <w:lang w:val="fr-FR"/>
        </w:rPr>
        <w:t xml:space="preserve"> européens</w:t>
      </w:r>
      <w:r w:rsidR="00980CCC" w:rsidRPr="004950D8">
        <w:rPr>
          <w:rFonts w:ascii="Gill Sans MT" w:hAnsi="Gill Sans MT"/>
          <w:b/>
          <w:lang w:val="fr-FR"/>
        </w:rPr>
        <w:t xml:space="preserve"> ont enregistré des taux de croissance à deux chiffres. À l’occasion d</w:t>
      </w:r>
      <w:r w:rsidR="0084635F">
        <w:rPr>
          <w:rFonts w:ascii="Gill Sans MT" w:hAnsi="Gill Sans MT"/>
          <w:b/>
          <w:lang w:val="fr-FR"/>
        </w:rPr>
        <w:t>u</w:t>
      </w:r>
      <w:r w:rsidR="00980CCC" w:rsidRPr="004950D8">
        <w:rPr>
          <w:rFonts w:ascii="Gill Sans MT" w:hAnsi="Gill Sans MT"/>
          <w:b/>
          <w:lang w:val="fr-FR"/>
        </w:rPr>
        <w:t xml:space="preserve"> </w:t>
      </w:r>
      <w:r w:rsidR="008100C8" w:rsidRPr="004950D8">
        <w:rPr>
          <w:rFonts w:ascii="Gill Sans MT" w:hAnsi="Gill Sans MT"/>
          <w:b/>
          <w:lang w:val="fr-FR"/>
        </w:rPr>
        <w:t>B</w:t>
      </w:r>
      <w:r w:rsidR="008100C8" w:rsidRPr="00EF1068">
        <w:rPr>
          <w:rFonts w:ascii="Gill Sans MT" w:hAnsi="Gill Sans MT"/>
          <w:b/>
          <w:lang w:val="fr-FR"/>
        </w:rPr>
        <w:t>IOFACH</w:t>
      </w:r>
      <w:r w:rsidR="00980CCC" w:rsidRPr="00EF1068">
        <w:rPr>
          <w:rFonts w:ascii="Gill Sans MT" w:hAnsi="Gill Sans MT"/>
          <w:b/>
          <w:lang w:val="fr-FR"/>
        </w:rPr>
        <w:t xml:space="preserve">, </w:t>
      </w:r>
      <w:r w:rsidR="00CB3AD1" w:rsidRPr="00EF1068">
        <w:rPr>
          <w:rFonts w:ascii="Gill Sans MT" w:hAnsi="Gill Sans MT"/>
          <w:b/>
          <w:lang w:val="fr-FR"/>
        </w:rPr>
        <w:t xml:space="preserve">le salon pilote mondial des aliments biologiques, </w:t>
      </w:r>
      <w:r w:rsidR="0084635F" w:rsidRPr="00ED45AF">
        <w:rPr>
          <w:rFonts w:ascii="Gill Sans MT" w:hAnsi="Gill Sans MT"/>
          <w:b/>
          <w:lang w:val="fr-FR"/>
        </w:rPr>
        <w:t>qui se tien</w:t>
      </w:r>
      <w:r w:rsidR="00ED45AF">
        <w:rPr>
          <w:rFonts w:ascii="Gill Sans MT" w:hAnsi="Gill Sans MT"/>
          <w:b/>
          <w:lang w:val="fr-FR"/>
        </w:rPr>
        <w:t>t</w:t>
      </w:r>
      <w:r w:rsidR="0084635F">
        <w:rPr>
          <w:rFonts w:ascii="Gill Sans MT" w:hAnsi="Gill Sans MT"/>
          <w:b/>
          <w:lang w:val="fr-FR"/>
        </w:rPr>
        <w:t xml:space="preserve"> </w:t>
      </w:r>
      <w:r w:rsidR="00E76CCB">
        <w:rPr>
          <w:rFonts w:ascii="Gill Sans MT" w:hAnsi="Gill Sans MT"/>
          <w:b/>
          <w:lang w:val="fr-FR"/>
        </w:rPr>
        <w:t xml:space="preserve">à Nuremberg, </w:t>
      </w:r>
      <w:r w:rsidR="00CB3AD1" w:rsidRPr="00EF1068">
        <w:rPr>
          <w:rFonts w:ascii="Gill Sans MT" w:hAnsi="Gill Sans MT"/>
          <w:b/>
          <w:lang w:val="fr-FR"/>
        </w:rPr>
        <w:t xml:space="preserve">l’Institut de recherche de l’agriculture biologique </w:t>
      </w:r>
      <w:r w:rsidR="00845226">
        <w:rPr>
          <w:rFonts w:ascii="Gill Sans MT" w:hAnsi="Gill Sans MT"/>
          <w:b/>
          <w:lang w:val="fr-FR"/>
        </w:rPr>
        <w:t>(</w:t>
      </w:r>
      <w:r w:rsidR="00CB3AD1" w:rsidRPr="00EF1068">
        <w:rPr>
          <w:rFonts w:ascii="Gill Sans MT" w:hAnsi="Gill Sans MT"/>
          <w:b/>
          <w:lang w:val="fr-FR"/>
        </w:rPr>
        <w:t>FiBL</w:t>
      </w:r>
      <w:r w:rsidR="00845226">
        <w:rPr>
          <w:rFonts w:ascii="Gill Sans MT" w:hAnsi="Gill Sans MT"/>
          <w:b/>
          <w:lang w:val="fr-FR"/>
        </w:rPr>
        <w:t>)</w:t>
      </w:r>
      <w:r w:rsidR="00CB3AD1" w:rsidRPr="00EF1068">
        <w:rPr>
          <w:rFonts w:ascii="Gill Sans MT" w:hAnsi="Gill Sans MT"/>
          <w:b/>
          <w:lang w:val="fr-FR"/>
        </w:rPr>
        <w:t xml:space="preserve">, </w:t>
      </w:r>
      <w:r w:rsidR="00EF1068">
        <w:rPr>
          <w:rFonts w:ascii="Gill Sans MT" w:hAnsi="Gill Sans MT"/>
          <w:b/>
          <w:lang w:val="fr-FR"/>
        </w:rPr>
        <w:t>l</w:t>
      </w:r>
      <w:r w:rsidR="00EF1068" w:rsidRPr="00EF1068">
        <w:rPr>
          <w:rFonts w:ascii="Gill Sans MT" w:hAnsi="Gill Sans MT"/>
          <w:b/>
          <w:lang w:val="fr-FR"/>
        </w:rPr>
        <w:t>a soci</w:t>
      </w:r>
      <w:r w:rsidR="00EF1068">
        <w:rPr>
          <w:rFonts w:ascii="Gill Sans MT" w:hAnsi="Gill Sans MT"/>
          <w:b/>
          <w:lang w:val="fr-FR"/>
        </w:rPr>
        <w:t xml:space="preserve">été d’information sur le marché agricole </w:t>
      </w:r>
      <w:r w:rsidR="008100C8" w:rsidRPr="004950D8">
        <w:rPr>
          <w:rFonts w:ascii="Gill Sans MT" w:hAnsi="Gill Sans MT"/>
          <w:b/>
          <w:lang w:val="fr-FR"/>
        </w:rPr>
        <w:t>AMI</w:t>
      </w:r>
      <w:r w:rsidR="00EF1068" w:rsidRPr="004950D8">
        <w:rPr>
          <w:rFonts w:ascii="Gill Sans MT" w:hAnsi="Gill Sans MT"/>
          <w:b/>
          <w:lang w:val="fr-FR"/>
        </w:rPr>
        <w:t xml:space="preserve"> et </w:t>
      </w:r>
      <w:r w:rsidR="00EB5F63" w:rsidRPr="004950D8">
        <w:rPr>
          <w:rFonts w:ascii="Gill Sans MT" w:hAnsi="Gill Sans MT"/>
          <w:b/>
          <w:lang w:val="fr-FR"/>
        </w:rPr>
        <w:t>leurs</w:t>
      </w:r>
      <w:r w:rsidR="00EF1068" w:rsidRPr="004950D8">
        <w:rPr>
          <w:rFonts w:ascii="Gill Sans MT" w:hAnsi="Gill Sans MT"/>
          <w:b/>
          <w:lang w:val="fr-FR"/>
        </w:rPr>
        <w:t xml:space="preserve"> partenaires</w:t>
      </w:r>
      <w:r w:rsidR="00EF1068">
        <w:rPr>
          <w:rFonts w:ascii="Gill Sans MT" w:hAnsi="Gill Sans MT"/>
          <w:b/>
          <w:lang w:val="fr-FR"/>
        </w:rPr>
        <w:t xml:space="preserve"> </w:t>
      </w:r>
      <w:r w:rsidR="0084635F" w:rsidRPr="00ED45AF">
        <w:rPr>
          <w:rFonts w:ascii="Gill Sans MT" w:hAnsi="Gill Sans MT"/>
          <w:b/>
          <w:lang w:val="fr-FR"/>
        </w:rPr>
        <w:t>présenteront</w:t>
      </w:r>
      <w:r w:rsidR="0084635F">
        <w:rPr>
          <w:rFonts w:ascii="Gill Sans MT" w:hAnsi="Gill Sans MT"/>
          <w:b/>
          <w:lang w:val="fr-FR"/>
        </w:rPr>
        <w:t xml:space="preserve"> les</w:t>
      </w:r>
      <w:r w:rsidR="00293A28" w:rsidRPr="004950D8">
        <w:rPr>
          <w:rFonts w:ascii="Gill Sans MT" w:hAnsi="Gill Sans MT"/>
          <w:b/>
          <w:lang w:val="fr-FR"/>
        </w:rPr>
        <w:t xml:space="preserve"> chiffres </w:t>
      </w:r>
      <w:r w:rsidR="00293A28" w:rsidRPr="00EB5F63">
        <w:rPr>
          <w:rFonts w:ascii="Gill Sans MT" w:hAnsi="Gill Sans MT"/>
          <w:b/>
          <w:lang w:val="fr-FR"/>
        </w:rPr>
        <w:t xml:space="preserve">du </w:t>
      </w:r>
      <w:r w:rsidR="00293A28">
        <w:rPr>
          <w:rFonts w:ascii="Gill Sans MT" w:hAnsi="Gill Sans MT"/>
          <w:b/>
          <w:lang w:val="fr-FR"/>
        </w:rPr>
        <w:t xml:space="preserve">secteur </w:t>
      </w:r>
      <w:r w:rsidR="00411DEF">
        <w:rPr>
          <w:rFonts w:ascii="Gill Sans MT" w:hAnsi="Gill Sans MT"/>
          <w:b/>
          <w:lang w:val="fr-FR"/>
        </w:rPr>
        <w:t xml:space="preserve">européen </w:t>
      </w:r>
      <w:r w:rsidR="00293A28">
        <w:rPr>
          <w:rFonts w:ascii="Gill Sans MT" w:hAnsi="Gill Sans MT"/>
          <w:b/>
          <w:lang w:val="fr-FR"/>
        </w:rPr>
        <w:t>du bio</w:t>
      </w:r>
      <w:r w:rsidR="0084635F">
        <w:rPr>
          <w:rFonts w:ascii="Gill Sans MT" w:hAnsi="Gill Sans MT"/>
          <w:b/>
          <w:lang w:val="fr-FR"/>
        </w:rPr>
        <w:t xml:space="preserve"> de 2018. Leur intervention se </w:t>
      </w:r>
      <w:r w:rsidR="0084635F" w:rsidRPr="00ED45AF">
        <w:rPr>
          <w:rFonts w:ascii="Gill Sans MT" w:hAnsi="Gill Sans MT"/>
          <w:b/>
          <w:lang w:val="fr-FR"/>
        </w:rPr>
        <w:t>tien</w:t>
      </w:r>
      <w:r w:rsidR="00376D74">
        <w:rPr>
          <w:rFonts w:ascii="Gill Sans MT" w:hAnsi="Gill Sans MT"/>
          <w:b/>
          <w:lang w:val="fr-FR"/>
        </w:rPr>
        <w:t>dra</w:t>
      </w:r>
      <w:r w:rsidR="0084635F">
        <w:rPr>
          <w:rFonts w:ascii="Gill Sans MT" w:hAnsi="Gill Sans MT"/>
          <w:b/>
          <w:lang w:val="fr-FR"/>
        </w:rPr>
        <w:t xml:space="preserve"> </w:t>
      </w:r>
      <w:r w:rsidR="00293A28" w:rsidRPr="00293A28">
        <w:rPr>
          <w:rFonts w:ascii="Gill Sans MT" w:hAnsi="Gill Sans MT"/>
          <w:b/>
          <w:lang w:val="fr-FR"/>
        </w:rPr>
        <w:t>le 1</w:t>
      </w:r>
      <w:r w:rsidR="00C27440" w:rsidRPr="00293A28">
        <w:rPr>
          <w:rFonts w:ascii="Gill Sans MT" w:hAnsi="Gill Sans MT"/>
          <w:b/>
          <w:lang w:val="fr-FR"/>
        </w:rPr>
        <w:t>2</w:t>
      </w:r>
      <w:r w:rsidR="008100C8" w:rsidRPr="00293A28">
        <w:rPr>
          <w:rFonts w:ascii="Gill Sans MT" w:hAnsi="Gill Sans MT"/>
          <w:b/>
          <w:lang w:val="fr-FR"/>
        </w:rPr>
        <w:t xml:space="preserve"> </w:t>
      </w:r>
      <w:r w:rsidR="00293A28" w:rsidRPr="00293A28">
        <w:rPr>
          <w:rFonts w:ascii="Gill Sans MT" w:hAnsi="Gill Sans MT"/>
          <w:b/>
          <w:lang w:val="fr-FR"/>
        </w:rPr>
        <w:t xml:space="preserve">février </w:t>
      </w:r>
      <w:r w:rsidR="00757B52">
        <w:rPr>
          <w:rFonts w:ascii="Gill Sans MT" w:hAnsi="Gill Sans MT"/>
          <w:b/>
          <w:lang w:val="fr-FR"/>
        </w:rPr>
        <w:t>au</w:t>
      </w:r>
      <w:r w:rsidR="00293A28" w:rsidRPr="00293A28">
        <w:rPr>
          <w:rFonts w:ascii="Gill Sans MT" w:hAnsi="Gill Sans MT"/>
          <w:b/>
          <w:lang w:val="fr-FR"/>
        </w:rPr>
        <w:t xml:space="preserve"> </w:t>
      </w:r>
      <w:r w:rsidR="008100C8" w:rsidRPr="00293A28">
        <w:rPr>
          <w:rFonts w:ascii="Gill Sans MT" w:hAnsi="Gill Sans MT"/>
          <w:b/>
          <w:lang w:val="fr-FR"/>
        </w:rPr>
        <w:t xml:space="preserve">BIOFACH: </w:t>
      </w:r>
      <w:r w:rsidR="008100C8" w:rsidRPr="00EB5F63">
        <w:rPr>
          <w:rFonts w:ascii="Gill Sans MT" w:hAnsi="Gill Sans MT"/>
          <w:b/>
          <w:lang w:val="fr-FR"/>
        </w:rPr>
        <w:t xml:space="preserve">Messezentrum Nürnberg, </w:t>
      </w:r>
      <w:r w:rsidR="00293A28" w:rsidRPr="00EB5F63">
        <w:rPr>
          <w:rFonts w:ascii="Gill Sans MT" w:hAnsi="Gill Sans MT"/>
          <w:b/>
          <w:lang w:val="fr-FR"/>
        </w:rPr>
        <w:t>salle</w:t>
      </w:r>
      <w:r w:rsidR="00BC5FC0" w:rsidRPr="00293A28">
        <w:rPr>
          <w:rFonts w:ascii="Gill Sans MT" w:hAnsi="Gill Sans MT"/>
          <w:b/>
          <w:lang w:val="fr-FR"/>
        </w:rPr>
        <w:t xml:space="preserve"> Shanghai</w:t>
      </w:r>
      <w:r w:rsidR="008100C8" w:rsidRPr="00293A28">
        <w:rPr>
          <w:rFonts w:ascii="Gill Sans MT" w:hAnsi="Gill Sans MT"/>
          <w:b/>
          <w:lang w:val="fr-FR"/>
        </w:rPr>
        <w:t xml:space="preserve">, </w:t>
      </w:r>
      <w:r w:rsidR="00293A28">
        <w:rPr>
          <w:rFonts w:ascii="Gill Sans MT" w:hAnsi="Gill Sans MT"/>
          <w:b/>
          <w:lang w:val="fr-FR"/>
        </w:rPr>
        <w:t xml:space="preserve">de </w:t>
      </w:r>
      <w:r w:rsidR="00B221D3" w:rsidRPr="00293A28">
        <w:rPr>
          <w:rFonts w:ascii="Gill Sans MT" w:hAnsi="Gill Sans MT"/>
          <w:b/>
          <w:lang w:val="fr-FR"/>
        </w:rPr>
        <w:t>16</w:t>
      </w:r>
      <w:r w:rsidR="00293A28">
        <w:rPr>
          <w:rFonts w:ascii="Gill Sans MT" w:hAnsi="Gill Sans MT"/>
          <w:b/>
          <w:lang w:val="fr-FR"/>
        </w:rPr>
        <w:t>h</w:t>
      </w:r>
      <w:r w:rsidR="008100C8" w:rsidRPr="00293A28">
        <w:rPr>
          <w:rFonts w:ascii="Gill Sans MT" w:hAnsi="Gill Sans MT"/>
          <w:b/>
          <w:lang w:val="fr-FR"/>
        </w:rPr>
        <w:t xml:space="preserve">00 </w:t>
      </w:r>
      <w:r w:rsidR="00293A28">
        <w:rPr>
          <w:rFonts w:ascii="Gill Sans MT" w:hAnsi="Gill Sans MT"/>
          <w:b/>
          <w:lang w:val="fr-FR"/>
        </w:rPr>
        <w:t xml:space="preserve">à </w:t>
      </w:r>
      <w:r w:rsidR="00B221D3" w:rsidRPr="00293A28">
        <w:rPr>
          <w:rFonts w:ascii="Gill Sans MT" w:hAnsi="Gill Sans MT"/>
          <w:b/>
          <w:lang w:val="fr-FR"/>
        </w:rPr>
        <w:t>16</w:t>
      </w:r>
      <w:r w:rsidR="00293A28">
        <w:rPr>
          <w:rFonts w:ascii="Gill Sans MT" w:hAnsi="Gill Sans MT"/>
          <w:b/>
          <w:lang w:val="fr-FR"/>
        </w:rPr>
        <w:t>h</w:t>
      </w:r>
      <w:r w:rsidR="008100C8" w:rsidRPr="00293A28">
        <w:rPr>
          <w:rFonts w:ascii="Gill Sans MT" w:hAnsi="Gill Sans MT"/>
          <w:b/>
          <w:lang w:val="fr-FR"/>
        </w:rPr>
        <w:t>45.</w:t>
      </w:r>
    </w:p>
    <w:p w14:paraId="2460BA05" w14:textId="40D75BB5" w:rsidR="0010418E" w:rsidRPr="00457234" w:rsidRDefault="0010418E" w:rsidP="005909ED">
      <w:pPr>
        <w:pStyle w:val="FiBLmrstandard"/>
        <w:keepNext/>
        <w:spacing w:before="120" w:line="240" w:lineRule="auto"/>
        <w:rPr>
          <w:lang w:val="fr-FR"/>
        </w:rPr>
      </w:pPr>
      <w:r w:rsidRPr="00457234">
        <w:rPr>
          <w:lang w:val="fr-FR"/>
        </w:rPr>
        <w:t>(Frick/</w:t>
      </w:r>
      <w:r w:rsidR="00582FE9" w:rsidRPr="00457234">
        <w:rPr>
          <w:lang w:val="fr-FR"/>
        </w:rPr>
        <w:t>N</w:t>
      </w:r>
      <w:r w:rsidR="00506D9D" w:rsidRPr="00457234">
        <w:rPr>
          <w:lang w:val="fr-FR"/>
        </w:rPr>
        <w:t>u</w:t>
      </w:r>
      <w:r w:rsidR="00582FE9" w:rsidRPr="00457234">
        <w:rPr>
          <w:lang w:val="fr-FR"/>
        </w:rPr>
        <w:t>r</w:t>
      </w:r>
      <w:r w:rsidR="00506D9D" w:rsidRPr="00457234">
        <w:rPr>
          <w:lang w:val="fr-FR"/>
        </w:rPr>
        <w:t>em</w:t>
      </w:r>
      <w:r w:rsidR="00582FE9" w:rsidRPr="00457234">
        <w:rPr>
          <w:lang w:val="fr-FR"/>
        </w:rPr>
        <w:t>berg</w:t>
      </w:r>
      <w:r w:rsidRPr="00457234">
        <w:rPr>
          <w:lang w:val="fr-FR"/>
        </w:rPr>
        <w:t xml:space="preserve">, </w:t>
      </w:r>
      <w:r w:rsidR="00506D9D" w:rsidRPr="00457234">
        <w:rPr>
          <w:lang w:val="fr-FR"/>
        </w:rPr>
        <w:t xml:space="preserve">le </w:t>
      </w:r>
      <w:r w:rsidR="00582FE9" w:rsidRPr="00457234">
        <w:rPr>
          <w:lang w:val="fr-FR"/>
        </w:rPr>
        <w:t>1</w:t>
      </w:r>
      <w:r w:rsidR="00C27440" w:rsidRPr="00457234">
        <w:rPr>
          <w:lang w:val="fr-FR"/>
        </w:rPr>
        <w:t>2</w:t>
      </w:r>
      <w:r w:rsidR="00582FE9" w:rsidRPr="00457234">
        <w:rPr>
          <w:lang w:val="fr-FR"/>
        </w:rPr>
        <w:t xml:space="preserve"> </w:t>
      </w:r>
      <w:r w:rsidR="00506D9D" w:rsidRPr="00457234">
        <w:rPr>
          <w:lang w:val="fr-FR"/>
        </w:rPr>
        <w:t>février</w:t>
      </w:r>
      <w:r w:rsidR="00B221D3" w:rsidRPr="00457234">
        <w:rPr>
          <w:lang w:val="fr-FR"/>
        </w:rPr>
        <w:t xml:space="preserve"> 2020</w:t>
      </w:r>
      <w:r w:rsidRPr="00457234">
        <w:rPr>
          <w:lang w:val="fr-FR"/>
        </w:rPr>
        <w:t xml:space="preserve">) </w:t>
      </w:r>
      <w:r w:rsidR="00DC061C" w:rsidRPr="00457234">
        <w:rPr>
          <w:lang w:val="fr-FR"/>
        </w:rPr>
        <w:t>En</w:t>
      </w:r>
      <w:r w:rsidR="00937648" w:rsidRPr="00457234">
        <w:rPr>
          <w:lang w:val="fr-FR"/>
        </w:rPr>
        <w:t xml:space="preserve"> 201</w:t>
      </w:r>
      <w:r w:rsidR="00C27440" w:rsidRPr="00457234">
        <w:rPr>
          <w:lang w:val="fr-FR"/>
        </w:rPr>
        <w:t>8</w:t>
      </w:r>
      <w:r w:rsidR="00DC061C" w:rsidRPr="00457234">
        <w:rPr>
          <w:lang w:val="fr-FR"/>
        </w:rPr>
        <w:t xml:space="preserve">, le secteur </w:t>
      </w:r>
      <w:r w:rsidR="004950D8">
        <w:rPr>
          <w:lang w:val="fr-FR"/>
        </w:rPr>
        <w:t xml:space="preserve">européen </w:t>
      </w:r>
      <w:r w:rsidR="00DC061C" w:rsidRPr="00457234">
        <w:rPr>
          <w:lang w:val="fr-FR"/>
        </w:rPr>
        <w:t>du bio a encore</w:t>
      </w:r>
      <w:r w:rsidR="00937648" w:rsidRPr="00457234">
        <w:rPr>
          <w:lang w:val="fr-FR"/>
        </w:rPr>
        <w:t xml:space="preserve"> </w:t>
      </w:r>
      <w:r w:rsidR="00DC061C" w:rsidRPr="00196871">
        <w:rPr>
          <w:lang w:val="fr-FR"/>
        </w:rPr>
        <w:t>enregistré</w:t>
      </w:r>
      <w:r w:rsidR="00CE1E5F" w:rsidRPr="00196871">
        <w:rPr>
          <w:lang w:val="fr-FR"/>
        </w:rPr>
        <w:t xml:space="preserve"> </w:t>
      </w:r>
      <w:r w:rsidR="00457234" w:rsidRPr="00196871">
        <w:rPr>
          <w:lang w:val="fr-FR"/>
        </w:rPr>
        <w:t>une forte ex</w:t>
      </w:r>
      <w:r w:rsidR="0084635F">
        <w:rPr>
          <w:lang w:val="fr-FR"/>
        </w:rPr>
        <w:t>tension</w:t>
      </w:r>
      <w:r w:rsidR="00457234" w:rsidRPr="00196871">
        <w:rPr>
          <w:lang w:val="fr-FR"/>
        </w:rPr>
        <w:t xml:space="preserve"> des surfaces et </w:t>
      </w:r>
      <w:r w:rsidR="00CD69F7">
        <w:rPr>
          <w:lang w:val="fr-FR"/>
        </w:rPr>
        <w:t xml:space="preserve">expansion </w:t>
      </w:r>
      <w:r w:rsidR="00457234" w:rsidRPr="00196871">
        <w:rPr>
          <w:lang w:val="fr-FR"/>
        </w:rPr>
        <w:t>du marché.</w:t>
      </w:r>
    </w:p>
    <w:p w14:paraId="2DCD0D9C" w14:textId="27E41113" w:rsidR="00CE5EA1" w:rsidRPr="002D04EC" w:rsidRDefault="00457234" w:rsidP="00022073">
      <w:pPr>
        <w:pStyle w:val="FiBLmrsubheader"/>
        <w:rPr>
          <w:lang w:val="fr-FR"/>
        </w:rPr>
      </w:pPr>
      <w:r w:rsidRPr="002D04EC">
        <w:rPr>
          <w:lang w:val="fr-FR"/>
        </w:rPr>
        <w:t xml:space="preserve">Plus de </w:t>
      </w:r>
      <w:r w:rsidR="0060078C" w:rsidRPr="002D04EC">
        <w:rPr>
          <w:lang w:val="fr-FR"/>
        </w:rPr>
        <w:t>15</w:t>
      </w:r>
      <w:r w:rsidR="00C27440" w:rsidRPr="002D04EC">
        <w:rPr>
          <w:lang w:val="fr-FR"/>
        </w:rPr>
        <w:t>,6</w:t>
      </w:r>
      <w:r w:rsidRPr="002D04EC">
        <w:rPr>
          <w:lang w:val="fr-FR"/>
        </w:rPr>
        <w:t xml:space="preserve"> millions d’hectares sont cultivés en </w:t>
      </w:r>
      <w:r w:rsidRPr="00B85ECA">
        <w:rPr>
          <w:lang w:val="fr-FR"/>
        </w:rPr>
        <w:t>bio</w:t>
      </w:r>
      <w:r w:rsidR="00CE5EA1" w:rsidRPr="00B85ECA">
        <w:rPr>
          <w:lang w:val="fr-FR"/>
        </w:rPr>
        <w:t xml:space="preserve"> – </w:t>
      </w:r>
      <w:r w:rsidRPr="00B85ECA">
        <w:rPr>
          <w:lang w:val="fr-FR"/>
        </w:rPr>
        <w:t>l’Espagne</w:t>
      </w:r>
      <w:r w:rsidRPr="00CB6F98">
        <w:rPr>
          <w:lang w:val="fr-FR"/>
        </w:rPr>
        <w:t xml:space="preserve"> </w:t>
      </w:r>
      <w:r w:rsidR="002D04EC" w:rsidRPr="00CB6F98">
        <w:rPr>
          <w:lang w:val="fr-FR"/>
        </w:rPr>
        <w:t>a la plus grande surface bio</w:t>
      </w:r>
      <w:r w:rsidR="00CB6F98" w:rsidRPr="00CB6F98">
        <w:rPr>
          <w:lang w:val="fr-FR"/>
        </w:rPr>
        <w:t>logique</w:t>
      </w:r>
    </w:p>
    <w:p w14:paraId="2E8FF190" w14:textId="23B77A86" w:rsidR="00CE5EA1" w:rsidRPr="002D04EC" w:rsidRDefault="002D04EC" w:rsidP="005909ED">
      <w:pPr>
        <w:pStyle w:val="FiBLmrstandard"/>
        <w:keepNext/>
        <w:spacing w:before="120" w:line="240" w:lineRule="auto"/>
        <w:rPr>
          <w:lang w:val="fr-FR"/>
        </w:rPr>
      </w:pPr>
      <w:r w:rsidRPr="002D04EC">
        <w:rPr>
          <w:lang w:val="fr-FR"/>
        </w:rPr>
        <w:t xml:space="preserve">En </w:t>
      </w:r>
      <w:r w:rsidR="002D75D5" w:rsidRPr="002D04EC">
        <w:rPr>
          <w:lang w:val="fr-FR"/>
        </w:rPr>
        <w:t>201</w:t>
      </w:r>
      <w:r w:rsidR="00C27440" w:rsidRPr="002D04EC">
        <w:rPr>
          <w:lang w:val="fr-FR"/>
        </w:rPr>
        <w:t>8</w:t>
      </w:r>
      <w:r w:rsidRPr="002D04EC">
        <w:rPr>
          <w:lang w:val="fr-FR"/>
        </w:rPr>
        <w:t>, en</w:t>
      </w:r>
      <w:r w:rsidR="00CE5EA1" w:rsidRPr="002D04EC">
        <w:rPr>
          <w:lang w:val="fr-FR"/>
        </w:rPr>
        <w:t xml:space="preserve"> Europ</w:t>
      </w:r>
      <w:r w:rsidR="00CB6F98">
        <w:rPr>
          <w:lang w:val="fr-FR"/>
        </w:rPr>
        <w:t>e</w:t>
      </w:r>
      <w:r w:rsidRPr="002D04EC">
        <w:rPr>
          <w:lang w:val="fr-FR"/>
        </w:rPr>
        <w:t>,</w:t>
      </w:r>
      <w:r w:rsidR="00CE5EA1" w:rsidRPr="002D04EC">
        <w:rPr>
          <w:lang w:val="fr-FR"/>
        </w:rPr>
        <w:t xml:space="preserve"> 1</w:t>
      </w:r>
      <w:r w:rsidR="00C27440" w:rsidRPr="002D04EC">
        <w:rPr>
          <w:lang w:val="fr-FR"/>
        </w:rPr>
        <w:t>5</w:t>
      </w:r>
      <w:r w:rsidR="00CE5EA1" w:rsidRPr="002D04EC">
        <w:rPr>
          <w:lang w:val="fr-FR"/>
        </w:rPr>
        <w:t>,</w:t>
      </w:r>
      <w:r w:rsidR="00BC5FC0" w:rsidRPr="002D04EC">
        <w:rPr>
          <w:lang w:val="fr-FR"/>
        </w:rPr>
        <w:t>6</w:t>
      </w:r>
      <w:r w:rsidRPr="002D04EC">
        <w:rPr>
          <w:lang w:val="fr-FR"/>
        </w:rPr>
        <w:t> m</w:t>
      </w:r>
      <w:r w:rsidR="00CE5EA1" w:rsidRPr="002D04EC">
        <w:rPr>
          <w:lang w:val="fr-FR"/>
        </w:rPr>
        <w:t>illion</w:t>
      </w:r>
      <w:r w:rsidRPr="002D04EC">
        <w:rPr>
          <w:lang w:val="fr-FR"/>
        </w:rPr>
        <w:t xml:space="preserve">s </w:t>
      </w:r>
      <w:r w:rsidRPr="00CB6F98">
        <w:rPr>
          <w:lang w:val="fr-FR"/>
        </w:rPr>
        <w:t>d’hectares étaient cultivés</w:t>
      </w:r>
      <w:r w:rsidRPr="002D04EC">
        <w:rPr>
          <w:lang w:val="fr-FR"/>
        </w:rPr>
        <w:t xml:space="preserve"> en bio</w:t>
      </w:r>
      <w:r w:rsidR="00C27440" w:rsidRPr="002D04EC">
        <w:rPr>
          <w:lang w:val="fr-FR"/>
        </w:rPr>
        <w:t xml:space="preserve"> (</w:t>
      </w:r>
      <w:r w:rsidRPr="002D04EC">
        <w:rPr>
          <w:lang w:val="fr-FR"/>
        </w:rPr>
        <w:t>Union européenne</w:t>
      </w:r>
      <w:r w:rsidR="00C27440" w:rsidRPr="002D04EC">
        <w:rPr>
          <w:lang w:val="fr-FR"/>
        </w:rPr>
        <w:t>: 13</w:t>
      </w:r>
      <w:r w:rsidR="00CE5EA1" w:rsidRPr="002D04EC">
        <w:rPr>
          <w:lang w:val="fr-FR"/>
        </w:rPr>
        <w:t>,</w:t>
      </w:r>
      <w:r w:rsidR="00BC5FC0" w:rsidRPr="002D04EC">
        <w:rPr>
          <w:lang w:val="fr-FR"/>
        </w:rPr>
        <w:t>8</w:t>
      </w:r>
      <w:r>
        <w:rPr>
          <w:lang w:val="fr-FR"/>
        </w:rPr>
        <w:t> millions d’hectares</w:t>
      </w:r>
      <w:r w:rsidR="00CE5EA1" w:rsidRPr="002D04EC">
        <w:rPr>
          <w:lang w:val="fr-FR"/>
        </w:rPr>
        <w:t xml:space="preserve">). </w:t>
      </w:r>
      <w:r w:rsidRPr="00CB6F98">
        <w:rPr>
          <w:lang w:val="fr-FR"/>
        </w:rPr>
        <w:t xml:space="preserve">Avec </w:t>
      </w:r>
      <w:r w:rsidR="00CE5EA1" w:rsidRPr="00CB6F98">
        <w:rPr>
          <w:lang w:val="fr-FR"/>
        </w:rPr>
        <w:t>2</w:t>
      </w:r>
      <w:r w:rsidR="00C27440" w:rsidRPr="00CB6F98">
        <w:rPr>
          <w:lang w:val="fr-FR"/>
        </w:rPr>
        <w:t>,2</w:t>
      </w:r>
      <w:r w:rsidRPr="00CB6F98">
        <w:rPr>
          <w:lang w:val="fr-FR"/>
        </w:rPr>
        <w:t xml:space="preserve"> millions d’hectares, l’Espagne reste le pays </w:t>
      </w:r>
      <w:r w:rsidR="00CD69F7">
        <w:rPr>
          <w:lang w:val="fr-FR"/>
        </w:rPr>
        <w:t>détenant</w:t>
      </w:r>
      <w:r w:rsidRPr="00CB6F98">
        <w:rPr>
          <w:lang w:val="fr-FR"/>
        </w:rPr>
        <w:t xml:space="preserve"> la plus grande surface bio en Europe,</w:t>
      </w:r>
      <w:r w:rsidRPr="002D04EC">
        <w:rPr>
          <w:lang w:val="fr-FR"/>
        </w:rPr>
        <w:t xml:space="preserve"> </w:t>
      </w:r>
      <w:r w:rsidR="00CD69F7">
        <w:rPr>
          <w:lang w:val="fr-FR"/>
        </w:rPr>
        <w:t>devant</w:t>
      </w:r>
      <w:r>
        <w:rPr>
          <w:lang w:val="fr-FR"/>
        </w:rPr>
        <w:t xml:space="preserve"> la</w:t>
      </w:r>
      <w:r w:rsidR="00CE5EA1" w:rsidRPr="002D04EC">
        <w:rPr>
          <w:lang w:val="fr-FR"/>
        </w:rPr>
        <w:t xml:space="preserve"> </w:t>
      </w:r>
      <w:r>
        <w:rPr>
          <w:lang w:val="fr-FR"/>
        </w:rPr>
        <w:t xml:space="preserve">France </w:t>
      </w:r>
      <w:r w:rsidR="00757B52">
        <w:rPr>
          <w:lang w:val="fr-FR"/>
        </w:rPr>
        <w:t xml:space="preserve">(2 millions d’hectares) </w:t>
      </w:r>
      <w:r w:rsidR="004E4FB7">
        <w:rPr>
          <w:lang w:val="fr-FR"/>
        </w:rPr>
        <w:t>et l’I</w:t>
      </w:r>
      <w:r w:rsidR="00C27440" w:rsidRPr="002D04EC">
        <w:rPr>
          <w:lang w:val="fr-FR"/>
        </w:rPr>
        <w:t>talie</w:t>
      </w:r>
      <w:r w:rsidR="00CE5EA1" w:rsidRPr="002D04EC">
        <w:rPr>
          <w:lang w:val="fr-FR"/>
        </w:rPr>
        <w:t xml:space="preserve"> (</w:t>
      </w:r>
      <w:r w:rsidR="004814C4" w:rsidRPr="002D04EC">
        <w:rPr>
          <w:lang w:val="fr-FR"/>
        </w:rPr>
        <w:t>2</w:t>
      </w:r>
      <w:r w:rsidR="004E4FB7">
        <w:rPr>
          <w:lang w:val="fr-FR"/>
        </w:rPr>
        <w:t> millions d’hectares</w:t>
      </w:r>
      <w:r w:rsidR="00CE5EA1" w:rsidRPr="002D04EC">
        <w:rPr>
          <w:lang w:val="fr-FR"/>
        </w:rPr>
        <w:t xml:space="preserve">). </w:t>
      </w:r>
    </w:p>
    <w:p w14:paraId="6332FD9F" w14:textId="0257D926" w:rsidR="00CE5EA1" w:rsidRPr="00AD5FAE" w:rsidRDefault="00AD5FAE" w:rsidP="009E3E09">
      <w:pPr>
        <w:pStyle w:val="FiBLmrsubheader"/>
        <w:rPr>
          <w:lang w:val="fr-FR"/>
        </w:rPr>
      </w:pPr>
      <w:r w:rsidRPr="007C1515">
        <w:rPr>
          <w:lang w:val="fr-FR"/>
        </w:rPr>
        <w:t xml:space="preserve">Extension de la surface agricole biologique de </w:t>
      </w:r>
      <w:r w:rsidRPr="009E3E09">
        <w:rPr>
          <w:lang w:val="fr-CH"/>
        </w:rPr>
        <w:t>plus</w:t>
      </w:r>
      <w:r w:rsidRPr="007C1515">
        <w:rPr>
          <w:lang w:val="fr-FR"/>
        </w:rPr>
        <w:t xml:space="preserve"> d’un million d’hectares</w:t>
      </w:r>
      <w:r w:rsidRPr="00AD5FAE">
        <w:rPr>
          <w:lang w:val="fr-FR"/>
        </w:rPr>
        <w:t xml:space="preserve"> </w:t>
      </w:r>
    </w:p>
    <w:p w14:paraId="3638B493" w14:textId="2746539A" w:rsidR="00CE5EA1" w:rsidRPr="005F7031" w:rsidRDefault="006A40F6" w:rsidP="00CE5EA1">
      <w:pPr>
        <w:pStyle w:val="FiBLmrstandard"/>
        <w:rPr>
          <w:lang w:val="fr-FR"/>
        </w:rPr>
      </w:pPr>
      <w:r w:rsidRPr="006A40F6">
        <w:rPr>
          <w:lang w:val="fr-FR"/>
        </w:rPr>
        <w:t xml:space="preserve">La surface bio a </w:t>
      </w:r>
      <w:r w:rsidRPr="002348DF">
        <w:rPr>
          <w:lang w:val="fr-FR"/>
        </w:rPr>
        <w:t xml:space="preserve">augmenté de </w:t>
      </w:r>
      <w:r w:rsidR="004814C4" w:rsidRPr="002348DF">
        <w:rPr>
          <w:lang w:val="fr-FR"/>
        </w:rPr>
        <w:t>1,</w:t>
      </w:r>
      <w:r w:rsidR="00C27440" w:rsidRPr="002348DF">
        <w:rPr>
          <w:lang w:val="fr-FR"/>
        </w:rPr>
        <w:t>25</w:t>
      </w:r>
      <w:r w:rsidRPr="006A40F6">
        <w:rPr>
          <w:lang w:val="fr-FR"/>
        </w:rPr>
        <w:t> m</w:t>
      </w:r>
      <w:r w:rsidR="00043DF8" w:rsidRPr="006A40F6">
        <w:rPr>
          <w:lang w:val="fr-FR"/>
        </w:rPr>
        <w:t>illion</w:t>
      </w:r>
      <w:r w:rsidRPr="006A40F6">
        <w:rPr>
          <w:lang w:val="fr-FR"/>
        </w:rPr>
        <w:t xml:space="preserve"> d’h</w:t>
      </w:r>
      <w:r w:rsidR="00043DF8" w:rsidRPr="006A40F6">
        <w:rPr>
          <w:lang w:val="fr-FR"/>
        </w:rPr>
        <w:t>e</w:t>
      </w:r>
      <w:r w:rsidRPr="006A40F6">
        <w:rPr>
          <w:lang w:val="fr-FR"/>
        </w:rPr>
        <w:t>c</w:t>
      </w:r>
      <w:r w:rsidR="00043DF8" w:rsidRPr="006A40F6">
        <w:rPr>
          <w:lang w:val="fr-FR"/>
        </w:rPr>
        <w:t>tar</w:t>
      </w:r>
      <w:r w:rsidRPr="006A40F6">
        <w:rPr>
          <w:lang w:val="fr-FR"/>
        </w:rPr>
        <w:t>es en Europe et d’un million d’hectares dans l’Union européenne, ce qui c</w:t>
      </w:r>
      <w:r>
        <w:rPr>
          <w:lang w:val="fr-FR"/>
        </w:rPr>
        <w:t>orrespond à une croissance de</w:t>
      </w:r>
      <w:r w:rsidR="00CE5EA1" w:rsidRPr="006A40F6">
        <w:rPr>
          <w:lang w:val="fr-FR"/>
        </w:rPr>
        <w:t xml:space="preserve"> </w:t>
      </w:r>
      <w:r w:rsidR="00C27440" w:rsidRPr="006A40F6">
        <w:rPr>
          <w:lang w:val="fr-FR"/>
        </w:rPr>
        <w:t>8,7</w:t>
      </w:r>
      <w:r>
        <w:rPr>
          <w:lang w:val="fr-FR"/>
        </w:rPr>
        <w:t> </w:t>
      </w:r>
      <w:r w:rsidR="004339A3">
        <w:rPr>
          <w:lang w:val="fr-FR"/>
        </w:rPr>
        <w:t>%</w:t>
      </w:r>
      <w:r w:rsidR="00CE5EA1" w:rsidRPr="006A40F6">
        <w:rPr>
          <w:lang w:val="fr-FR"/>
        </w:rPr>
        <w:t xml:space="preserve"> </w:t>
      </w:r>
      <w:r w:rsidR="004339A3">
        <w:rPr>
          <w:lang w:val="fr-FR"/>
        </w:rPr>
        <w:t>et de</w:t>
      </w:r>
      <w:r w:rsidR="00CE5EA1" w:rsidRPr="006A40F6">
        <w:rPr>
          <w:lang w:val="fr-FR"/>
        </w:rPr>
        <w:t xml:space="preserve"> </w:t>
      </w:r>
      <w:r w:rsidR="00C27440" w:rsidRPr="006A40F6">
        <w:rPr>
          <w:lang w:val="fr-FR"/>
        </w:rPr>
        <w:t>7,</w:t>
      </w:r>
      <w:r w:rsidR="00C27440" w:rsidRPr="007C1515">
        <w:rPr>
          <w:lang w:val="fr-FR"/>
        </w:rPr>
        <w:t>6</w:t>
      </w:r>
      <w:r w:rsidR="00022073" w:rsidRPr="007C1515">
        <w:rPr>
          <w:lang w:val="fr-FR"/>
        </w:rPr>
        <w:t> </w:t>
      </w:r>
      <w:r w:rsidR="004339A3" w:rsidRPr="007C1515">
        <w:rPr>
          <w:lang w:val="fr-FR"/>
        </w:rPr>
        <w:t>%</w:t>
      </w:r>
      <w:r w:rsidR="00CD69F7">
        <w:rPr>
          <w:lang w:val="fr-FR"/>
        </w:rPr>
        <w:t>, respectivement</w:t>
      </w:r>
      <w:r w:rsidR="007C1515" w:rsidRPr="007C1515">
        <w:rPr>
          <w:lang w:val="fr-FR"/>
        </w:rPr>
        <w:t xml:space="preserve">. </w:t>
      </w:r>
      <w:r w:rsidR="005F7031" w:rsidRPr="007C1515">
        <w:rPr>
          <w:lang w:val="fr-FR"/>
        </w:rPr>
        <w:t xml:space="preserve">En </w:t>
      </w:r>
      <w:r w:rsidR="00C27440" w:rsidRPr="007C1515">
        <w:rPr>
          <w:lang w:val="fr-FR"/>
        </w:rPr>
        <w:t>2018</w:t>
      </w:r>
      <w:r w:rsidR="005F7031" w:rsidRPr="007C1515">
        <w:rPr>
          <w:lang w:val="fr-FR"/>
        </w:rPr>
        <w:t xml:space="preserve">, plus de </w:t>
      </w:r>
      <w:r w:rsidR="00C27440" w:rsidRPr="007C1515">
        <w:rPr>
          <w:lang w:val="fr-FR"/>
        </w:rPr>
        <w:t>290</w:t>
      </w:r>
      <w:r w:rsidR="00BB058F" w:rsidRPr="007C1515">
        <w:rPr>
          <w:lang w:val="fr-FR"/>
        </w:rPr>
        <w:t>'000</w:t>
      </w:r>
      <w:r w:rsidR="005F7031" w:rsidRPr="007C1515">
        <w:rPr>
          <w:lang w:val="fr-FR"/>
        </w:rPr>
        <w:t xml:space="preserve"> hectares de surface bio </w:t>
      </w:r>
      <w:r w:rsidR="005F7031" w:rsidRPr="002348DF">
        <w:rPr>
          <w:lang w:val="fr-FR"/>
        </w:rPr>
        <w:t>se sont ajoutés en France et plus de</w:t>
      </w:r>
      <w:r w:rsidR="00BB058F" w:rsidRPr="002348DF">
        <w:rPr>
          <w:lang w:val="fr-FR"/>
        </w:rPr>
        <w:t xml:space="preserve"> </w:t>
      </w:r>
      <w:r w:rsidR="00C27440" w:rsidRPr="002348DF">
        <w:rPr>
          <w:lang w:val="fr-FR"/>
        </w:rPr>
        <w:t>160</w:t>
      </w:r>
      <w:r w:rsidR="00BB058F" w:rsidRPr="002348DF">
        <w:rPr>
          <w:lang w:val="fr-FR"/>
        </w:rPr>
        <w:t>'000</w:t>
      </w:r>
      <w:r w:rsidR="005F7031" w:rsidRPr="002348DF">
        <w:rPr>
          <w:lang w:val="fr-FR"/>
        </w:rPr>
        <w:t> h</w:t>
      </w:r>
      <w:r w:rsidR="00BB058F" w:rsidRPr="002348DF">
        <w:rPr>
          <w:lang w:val="fr-FR"/>
        </w:rPr>
        <w:t>e</w:t>
      </w:r>
      <w:r w:rsidR="005F7031" w:rsidRPr="002348DF">
        <w:rPr>
          <w:lang w:val="fr-FR"/>
        </w:rPr>
        <w:t>c</w:t>
      </w:r>
      <w:r w:rsidR="00BB058F" w:rsidRPr="002348DF">
        <w:rPr>
          <w:lang w:val="fr-FR"/>
        </w:rPr>
        <w:t>tar</w:t>
      </w:r>
      <w:r w:rsidR="005F7031" w:rsidRPr="002348DF">
        <w:rPr>
          <w:lang w:val="fr-FR"/>
        </w:rPr>
        <w:t>es en Espagne</w:t>
      </w:r>
      <w:r w:rsidR="007C03B3" w:rsidRPr="002348DF">
        <w:rPr>
          <w:lang w:val="fr-FR"/>
        </w:rPr>
        <w:t>.</w:t>
      </w:r>
    </w:p>
    <w:p w14:paraId="38742FE3" w14:textId="1B26FD18" w:rsidR="00CE5EA1" w:rsidRPr="002348DF" w:rsidRDefault="00400CA5" w:rsidP="00022073">
      <w:pPr>
        <w:pStyle w:val="FiBLmrsubheader"/>
        <w:rPr>
          <w:lang w:val="fr-FR"/>
        </w:rPr>
      </w:pPr>
      <w:r w:rsidRPr="002348DF">
        <w:rPr>
          <w:lang w:val="fr-FR"/>
        </w:rPr>
        <w:t xml:space="preserve">Le </w:t>
      </w:r>
      <w:r w:rsidR="00CE5EA1" w:rsidRPr="002348DF">
        <w:rPr>
          <w:lang w:val="fr-FR"/>
        </w:rPr>
        <w:t>Liechtenstein</w:t>
      </w:r>
      <w:r w:rsidR="00CD69F7">
        <w:rPr>
          <w:lang w:val="fr-FR"/>
        </w:rPr>
        <w:t xml:space="preserve">, numéro un mondial de la </w:t>
      </w:r>
      <w:r w:rsidRPr="002348DF">
        <w:rPr>
          <w:lang w:val="fr-FR"/>
        </w:rPr>
        <w:t>surface bio</w:t>
      </w:r>
    </w:p>
    <w:p w14:paraId="5C5DF20D" w14:textId="432F36E8" w:rsidR="00CE5EA1" w:rsidRPr="00635608" w:rsidRDefault="0088216A" w:rsidP="00CE5EA1">
      <w:pPr>
        <w:pStyle w:val="FiBLmrstandard"/>
        <w:rPr>
          <w:lang w:val="fr-FR"/>
        </w:rPr>
      </w:pPr>
      <w:r w:rsidRPr="0088216A">
        <w:rPr>
          <w:lang w:val="fr-FR"/>
        </w:rPr>
        <w:t xml:space="preserve">La surface bio représente </w:t>
      </w:r>
      <w:r w:rsidR="00CB2F27" w:rsidRPr="0088216A">
        <w:rPr>
          <w:lang w:val="fr-FR"/>
        </w:rPr>
        <w:t>3,1</w:t>
      </w:r>
      <w:r w:rsidRPr="0088216A">
        <w:rPr>
          <w:lang w:val="fr-FR"/>
        </w:rPr>
        <w:t> % de la su</w:t>
      </w:r>
      <w:r>
        <w:rPr>
          <w:lang w:val="fr-FR"/>
        </w:rPr>
        <w:t>rface agricole utile totale</w:t>
      </w:r>
      <w:r w:rsidR="00CE5EA1" w:rsidRPr="0088216A">
        <w:rPr>
          <w:lang w:val="fr-FR"/>
        </w:rPr>
        <w:t xml:space="preserve"> </w:t>
      </w:r>
      <w:r w:rsidRPr="0088216A">
        <w:rPr>
          <w:lang w:val="fr-FR"/>
        </w:rPr>
        <w:t xml:space="preserve">en Europe et </w:t>
      </w:r>
      <w:r w:rsidR="00CB2F27" w:rsidRPr="0088216A">
        <w:rPr>
          <w:lang w:val="fr-FR"/>
        </w:rPr>
        <w:t>7,7</w:t>
      </w:r>
      <w:r w:rsidRPr="0088216A">
        <w:rPr>
          <w:lang w:val="fr-FR"/>
        </w:rPr>
        <w:t xml:space="preserve"> % dans l’Union européenne. </w:t>
      </w:r>
      <w:r w:rsidRPr="00323F0F">
        <w:rPr>
          <w:lang w:val="fr-FR"/>
        </w:rPr>
        <w:t>Au niveau européen</w:t>
      </w:r>
      <w:r w:rsidR="00CE5EA1" w:rsidRPr="00323F0F">
        <w:rPr>
          <w:lang w:val="fr-FR"/>
        </w:rPr>
        <w:t xml:space="preserve"> (</w:t>
      </w:r>
      <w:r w:rsidRPr="00323F0F">
        <w:rPr>
          <w:lang w:val="fr-FR"/>
        </w:rPr>
        <w:t>et mondial</w:t>
      </w:r>
      <w:r w:rsidR="00CE5EA1" w:rsidRPr="00323F0F">
        <w:rPr>
          <w:lang w:val="fr-FR"/>
        </w:rPr>
        <w:t>)</w:t>
      </w:r>
      <w:r w:rsidRPr="00323F0F">
        <w:rPr>
          <w:lang w:val="fr-FR"/>
        </w:rPr>
        <w:t>, le</w:t>
      </w:r>
      <w:r w:rsidR="00CE5EA1" w:rsidRPr="00323F0F">
        <w:rPr>
          <w:lang w:val="fr-FR"/>
        </w:rPr>
        <w:t xml:space="preserve"> </w:t>
      </w:r>
      <w:r w:rsidR="00CE5EA1" w:rsidRPr="00C42B0B">
        <w:rPr>
          <w:lang w:val="fr-FR"/>
        </w:rPr>
        <w:t xml:space="preserve">Liechtenstein </w:t>
      </w:r>
      <w:r w:rsidRPr="00C42B0B">
        <w:rPr>
          <w:lang w:val="fr-FR"/>
        </w:rPr>
        <w:t>présente</w:t>
      </w:r>
      <w:r w:rsidR="00CD69F7">
        <w:rPr>
          <w:lang w:val="fr-FR"/>
        </w:rPr>
        <w:t>, avec 38,5 %,</w:t>
      </w:r>
      <w:r w:rsidRPr="00C42B0B">
        <w:rPr>
          <w:lang w:val="fr-FR"/>
        </w:rPr>
        <w:t xml:space="preserve"> le pourcentage</w:t>
      </w:r>
      <w:r w:rsidR="00C42B0B" w:rsidRPr="00C42B0B">
        <w:rPr>
          <w:lang w:val="fr-FR"/>
        </w:rPr>
        <w:t xml:space="preserve"> le plus élevé</w:t>
      </w:r>
      <w:r w:rsidRPr="00C42B0B">
        <w:rPr>
          <w:lang w:val="fr-FR"/>
        </w:rPr>
        <w:t xml:space="preserve"> de surface bio </w:t>
      </w:r>
      <w:r w:rsidR="00323F0F" w:rsidRPr="00C42B0B">
        <w:rPr>
          <w:lang w:val="fr-FR"/>
        </w:rPr>
        <w:t xml:space="preserve">par rapport à la surface agricole </w:t>
      </w:r>
      <w:r w:rsidR="00323F0F" w:rsidRPr="00323F0F">
        <w:rPr>
          <w:lang w:val="fr-FR"/>
        </w:rPr>
        <w:t>utile</w:t>
      </w:r>
      <w:r w:rsidR="00C42B0B">
        <w:rPr>
          <w:lang w:val="fr-FR"/>
        </w:rPr>
        <w:t>,</w:t>
      </w:r>
      <w:r w:rsidR="00CE5EA1" w:rsidRPr="00323F0F">
        <w:rPr>
          <w:lang w:val="fr-FR"/>
        </w:rPr>
        <w:t xml:space="preserve"> </w:t>
      </w:r>
      <w:r w:rsidR="00323F0F">
        <w:rPr>
          <w:lang w:val="fr-FR"/>
        </w:rPr>
        <w:t xml:space="preserve">suivi </w:t>
      </w:r>
      <w:r w:rsidR="005A7CBB">
        <w:rPr>
          <w:lang w:val="fr-FR"/>
        </w:rPr>
        <w:t>de</w:t>
      </w:r>
      <w:r w:rsidR="00323F0F">
        <w:rPr>
          <w:lang w:val="fr-FR"/>
        </w:rPr>
        <w:t xml:space="preserve"> l’Autriche</w:t>
      </w:r>
      <w:r w:rsidR="00CE5EA1" w:rsidRPr="00323F0F">
        <w:rPr>
          <w:lang w:val="fr-FR"/>
        </w:rPr>
        <w:t xml:space="preserve">, </w:t>
      </w:r>
      <w:r w:rsidR="00323F0F">
        <w:rPr>
          <w:lang w:val="fr-FR"/>
        </w:rPr>
        <w:t xml:space="preserve">pays de l’Union européenne </w:t>
      </w:r>
      <w:r w:rsidR="00323F0F" w:rsidRPr="00C42B0B">
        <w:rPr>
          <w:lang w:val="fr-FR"/>
        </w:rPr>
        <w:t>avec la part la plus élevée de surface bio</w:t>
      </w:r>
      <w:r w:rsidR="00245F21" w:rsidRPr="00C42B0B">
        <w:rPr>
          <w:lang w:val="fr-FR"/>
        </w:rPr>
        <w:t xml:space="preserve"> </w:t>
      </w:r>
      <w:r w:rsidR="00245F21" w:rsidRPr="00323F0F">
        <w:rPr>
          <w:lang w:val="fr-FR"/>
        </w:rPr>
        <w:t>(24</w:t>
      </w:r>
      <w:r w:rsidR="00CB2F27" w:rsidRPr="00323F0F">
        <w:rPr>
          <w:lang w:val="fr-FR"/>
        </w:rPr>
        <w:t>,</w:t>
      </w:r>
      <w:r w:rsidR="00CB2F27" w:rsidRPr="00C42B0B">
        <w:rPr>
          <w:lang w:val="fr-FR"/>
        </w:rPr>
        <w:t>7</w:t>
      </w:r>
      <w:r w:rsidR="00283296" w:rsidRPr="00C42B0B">
        <w:rPr>
          <w:lang w:val="fr-FR"/>
        </w:rPr>
        <w:t> %</w:t>
      </w:r>
      <w:r w:rsidR="00245F21" w:rsidRPr="00C42B0B">
        <w:rPr>
          <w:lang w:val="fr-FR"/>
        </w:rPr>
        <w:t>)</w:t>
      </w:r>
      <w:r w:rsidR="00CE5EA1" w:rsidRPr="00C42B0B">
        <w:rPr>
          <w:lang w:val="fr-FR"/>
        </w:rPr>
        <w:t xml:space="preserve">. </w:t>
      </w:r>
      <w:r w:rsidR="007E7DF5" w:rsidRPr="00C42B0B">
        <w:rPr>
          <w:lang w:val="fr-FR"/>
        </w:rPr>
        <w:t>Au total, dix pays européens</w:t>
      </w:r>
      <w:r w:rsidR="007C1515">
        <w:rPr>
          <w:lang w:val="fr-FR"/>
        </w:rPr>
        <w:t xml:space="preserve"> </w:t>
      </w:r>
      <w:r w:rsidR="007C1515" w:rsidRPr="00635608">
        <w:rPr>
          <w:lang w:val="fr-FR"/>
        </w:rPr>
        <w:t>ont indiqué</w:t>
      </w:r>
      <w:r w:rsidR="00A75536" w:rsidRPr="00635608">
        <w:rPr>
          <w:lang w:val="fr-FR"/>
        </w:rPr>
        <w:t xml:space="preserve"> qu’au moins </w:t>
      </w:r>
      <w:r w:rsidR="00F1030B" w:rsidRPr="00635608">
        <w:rPr>
          <w:lang w:val="fr-FR"/>
        </w:rPr>
        <w:t>10</w:t>
      </w:r>
      <w:r w:rsidR="00A75536" w:rsidRPr="00635608">
        <w:rPr>
          <w:lang w:val="fr-FR"/>
        </w:rPr>
        <w:t> % de leur surface agricole est cultivée en bio</w:t>
      </w:r>
      <w:r w:rsidR="00CE5EA1" w:rsidRPr="00635608">
        <w:rPr>
          <w:lang w:val="fr-FR"/>
        </w:rPr>
        <w:t xml:space="preserve">. </w:t>
      </w:r>
    </w:p>
    <w:p w14:paraId="1B1BCDB8" w14:textId="0C44EA14" w:rsidR="00CE5EA1" w:rsidRPr="008A68DF" w:rsidRDefault="009D6D52" w:rsidP="00022073">
      <w:pPr>
        <w:pStyle w:val="FiBLmrsubheader"/>
        <w:rPr>
          <w:lang w:val="fr-FR"/>
        </w:rPr>
      </w:pPr>
      <w:r w:rsidRPr="008A68DF">
        <w:rPr>
          <w:lang w:val="fr-FR"/>
        </w:rPr>
        <w:lastRenderedPageBreak/>
        <w:t>Presque</w:t>
      </w:r>
      <w:r w:rsidR="00CB2F27" w:rsidRPr="008A68DF">
        <w:rPr>
          <w:lang w:val="fr-FR"/>
        </w:rPr>
        <w:t xml:space="preserve"> 42</w:t>
      </w:r>
      <w:r w:rsidR="00313532" w:rsidRPr="008A68DF">
        <w:rPr>
          <w:lang w:val="fr-FR"/>
        </w:rPr>
        <w:t>0</w:t>
      </w:r>
      <w:r w:rsidRPr="008A68DF">
        <w:rPr>
          <w:lang w:val="fr-FR"/>
        </w:rPr>
        <w:t>'</w:t>
      </w:r>
      <w:r w:rsidR="005909ED" w:rsidRPr="008A68DF">
        <w:rPr>
          <w:lang w:val="fr-FR"/>
        </w:rPr>
        <w:t>000</w:t>
      </w:r>
      <w:r w:rsidRPr="008A68DF">
        <w:rPr>
          <w:lang w:val="fr-FR"/>
        </w:rPr>
        <w:t> producteurs bio</w:t>
      </w:r>
    </w:p>
    <w:p w14:paraId="14AFBC07" w14:textId="2A466535" w:rsidR="00CE5EA1" w:rsidRPr="005A104C" w:rsidRDefault="009D6D52" w:rsidP="00CE5EA1">
      <w:pPr>
        <w:pStyle w:val="FiBLmrstandard"/>
        <w:rPr>
          <w:lang w:val="fr-FR"/>
        </w:rPr>
      </w:pPr>
      <w:r w:rsidRPr="008A68DF">
        <w:rPr>
          <w:lang w:val="fr-FR"/>
        </w:rPr>
        <w:t xml:space="preserve">En </w:t>
      </w:r>
      <w:r w:rsidR="00CE5EA1" w:rsidRPr="0028305F">
        <w:rPr>
          <w:lang w:val="fr-FR"/>
        </w:rPr>
        <w:t>Europ</w:t>
      </w:r>
      <w:r w:rsidRPr="0028305F">
        <w:rPr>
          <w:lang w:val="fr-FR"/>
        </w:rPr>
        <w:t xml:space="preserve">e, on </w:t>
      </w:r>
      <w:r w:rsidR="00CD69F7">
        <w:rPr>
          <w:lang w:val="fr-FR"/>
        </w:rPr>
        <w:t>dénombre</w:t>
      </w:r>
      <w:r w:rsidRPr="0028305F">
        <w:rPr>
          <w:lang w:val="fr-FR"/>
        </w:rPr>
        <w:t xml:space="preserve"> presque</w:t>
      </w:r>
      <w:r w:rsidR="00CE5EA1" w:rsidRPr="008A68DF">
        <w:rPr>
          <w:lang w:val="fr-FR"/>
        </w:rPr>
        <w:t xml:space="preserve"> </w:t>
      </w:r>
      <w:r w:rsidR="00CB2F27" w:rsidRPr="008A68DF">
        <w:rPr>
          <w:lang w:val="fr-FR"/>
        </w:rPr>
        <w:t>420</w:t>
      </w:r>
      <w:r w:rsidR="00CE5EA1" w:rsidRPr="008A68DF">
        <w:rPr>
          <w:lang w:val="fr-FR"/>
        </w:rPr>
        <w:t>'000</w:t>
      </w:r>
      <w:r w:rsidRPr="008A68DF">
        <w:rPr>
          <w:lang w:val="fr-FR"/>
        </w:rPr>
        <w:t> </w:t>
      </w:r>
      <w:r w:rsidR="006063DB" w:rsidRPr="008A68DF">
        <w:rPr>
          <w:lang w:val="fr-FR"/>
        </w:rPr>
        <w:t>produ</w:t>
      </w:r>
      <w:r w:rsidRPr="008A68DF">
        <w:rPr>
          <w:lang w:val="fr-FR"/>
        </w:rPr>
        <w:t>cteurs bio et dans l’Union européenne plus de</w:t>
      </w:r>
      <w:r w:rsidR="00245F21" w:rsidRPr="008A68DF">
        <w:rPr>
          <w:lang w:val="fr-FR"/>
        </w:rPr>
        <w:t xml:space="preserve"> </w:t>
      </w:r>
      <w:r w:rsidR="00CB2F27" w:rsidRPr="008A68DF">
        <w:rPr>
          <w:lang w:val="fr-FR"/>
        </w:rPr>
        <w:t>330</w:t>
      </w:r>
      <w:r w:rsidR="006063DB" w:rsidRPr="008A68DF">
        <w:rPr>
          <w:lang w:val="fr-FR"/>
        </w:rPr>
        <w:t xml:space="preserve">'000. </w:t>
      </w:r>
      <w:r w:rsidRPr="008A68DF">
        <w:rPr>
          <w:lang w:val="fr-FR"/>
        </w:rPr>
        <w:t>La Turquie est le pays qui compte le plus d</w:t>
      </w:r>
      <w:r w:rsidR="008257A8">
        <w:rPr>
          <w:lang w:val="fr-FR"/>
        </w:rPr>
        <w:t>’</w:t>
      </w:r>
      <w:r w:rsidRPr="008A68DF">
        <w:rPr>
          <w:lang w:val="fr-FR"/>
        </w:rPr>
        <w:t xml:space="preserve">exploitations </w:t>
      </w:r>
      <w:r w:rsidR="00CE5EA1" w:rsidRPr="008A68DF">
        <w:rPr>
          <w:lang w:val="fr-FR"/>
        </w:rPr>
        <w:t>(</w:t>
      </w:r>
      <w:r w:rsidRPr="008A68DF">
        <w:rPr>
          <w:lang w:val="fr-FR"/>
        </w:rPr>
        <w:t>presque</w:t>
      </w:r>
      <w:r w:rsidR="00245F21" w:rsidRPr="008A68DF">
        <w:rPr>
          <w:lang w:val="fr-FR"/>
        </w:rPr>
        <w:t xml:space="preserve"> </w:t>
      </w:r>
      <w:r w:rsidR="00CB2F27" w:rsidRPr="008A68DF">
        <w:rPr>
          <w:lang w:val="fr-FR"/>
        </w:rPr>
        <w:t>80</w:t>
      </w:r>
      <w:r w:rsidR="004D4991" w:rsidRPr="008A68DF">
        <w:rPr>
          <w:lang w:val="fr-FR"/>
        </w:rPr>
        <w:t>'</w:t>
      </w:r>
      <w:r w:rsidR="00245F21" w:rsidRPr="008A68DF">
        <w:rPr>
          <w:lang w:val="fr-FR"/>
        </w:rPr>
        <w:t>000</w:t>
      </w:r>
      <w:r w:rsidR="00CE5EA1" w:rsidRPr="008A68DF">
        <w:rPr>
          <w:lang w:val="fr-FR"/>
        </w:rPr>
        <w:t xml:space="preserve">). </w:t>
      </w:r>
      <w:r w:rsidR="005A104C" w:rsidRPr="008A68DF">
        <w:rPr>
          <w:lang w:val="fr-FR"/>
        </w:rPr>
        <w:t>En</w:t>
      </w:r>
      <w:r w:rsidR="005A104C" w:rsidRPr="005A104C">
        <w:rPr>
          <w:lang w:val="fr-FR"/>
        </w:rPr>
        <w:t xml:space="preserve"> 2018</w:t>
      </w:r>
      <w:r w:rsidR="004F2569">
        <w:rPr>
          <w:lang w:val="fr-FR"/>
        </w:rPr>
        <w:t xml:space="preserve">, </w:t>
      </w:r>
      <w:r w:rsidR="005A104C" w:rsidRPr="005A104C">
        <w:rPr>
          <w:lang w:val="fr-FR"/>
        </w:rPr>
        <w:t>l</w:t>
      </w:r>
      <w:r w:rsidRPr="005A104C">
        <w:rPr>
          <w:lang w:val="fr-FR"/>
        </w:rPr>
        <w:t xml:space="preserve">e nombre de producteurs </w:t>
      </w:r>
      <w:r w:rsidR="005A104C" w:rsidRPr="005A104C">
        <w:rPr>
          <w:lang w:val="fr-FR"/>
        </w:rPr>
        <w:t xml:space="preserve">a augmenté de </w:t>
      </w:r>
      <w:r w:rsidR="00CB2F27" w:rsidRPr="005A104C">
        <w:rPr>
          <w:lang w:val="fr-FR"/>
        </w:rPr>
        <w:t>5,4</w:t>
      </w:r>
      <w:r w:rsidR="005A104C" w:rsidRPr="005A104C">
        <w:rPr>
          <w:lang w:val="fr-FR"/>
        </w:rPr>
        <w:t> </w:t>
      </w:r>
      <w:r w:rsidR="005A104C">
        <w:rPr>
          <w:lang w:val="fr-FR"/>
        </w:rPr>
        <w:t>%</w:t>
      </w:r>
      <w:r w:rsidR="00CE5EA1" w:rsidRPr="005A104C">
        <w:rPr>
          <w:lang w:val="fr-FR"/>
        </w:rPr>
        <w:t xml:space="preserve"> </w:t>
      </w:r>
      <w:r w:rsidR="004F2569">
        <w:rPr>
          <w:lang w:val="fr-FR"/>
        </w:rPr>
        <w:t xml:space="preserve">en Europe </w:t>
      </w:r>
      <w:r w:rsidR="00CE5EA1" w:rsidRPr="005A104C">
        <w:rPr>
          <w:lang w:val="fr-FR"/>
        </w:rPr>
        <w:t>(</w:t>
      </w:r>
      <w:r w:rsidR="00CB2F27" w:rsidRPr="005A104C">
        <w:rPr>
          <w:lang w:val="fr-FR"/>
        </w:rPr>
        <w:t>7,2</w:t>
      </w:r>
      <w:r w:rsidR="005A104C">
        <w:rPr>
          <w:lang w:val="fr-FR"/>
        </w:rPr>
        <w:t> % dans l’Union européenne</w:t>
      </w:r>
      <w:r w:rsidR="00CE5EA1" w:rsidRPr="005A104C">
        <w:rPr>
          <w:lang w:val="fr-FR"/>
        </w:rPr>
        <w:t xml:space="preserve">). </w:t>
      </w:r>
    </w:p>
    <w:p w14:paraId="34CD0427" w14:textId="2FFBEAF6" w:rsidR="00CE5EA1" w:rsidRPr="00D16E3C" w:rsidRDefault="003E5BCB" w:rsidP="00022073">
      <w:pPr>
        <w:pStyle w:val="FiBLmraddinfo"/>
        <w:rPr>
          <w:lang w:val="fr-FR"/>
        </w:rPr>
      </w:pPr>
      <w:r w:rsidRPr="00990D51">
        <w:rPr>
          <w:lang w:val="fr-FR"/>
        </w:rPr>
        <w:t xml:space="preserve">Croissance </w:t>
      </w:r>
      <w:r w:rsidR="0053137D">
        <w:rPr>
          <w:lang w:val="fr-FR"/>
        </w:rPr>
        <w:t>constante</w:t>
      </w:r>
      <w:r w:rsidRPr="00990D51">
        <w:rPr>
          <w:lang w:val="fr-FR"/>
        </w:rPr>
        <w:t xml:space="preserve"> chez les transformateurs </w:t>
      </w:r>
      <w:r w:rsidRPr="00D16E3C">
        <w:rPr>
          <w:lang w:val="fr-FR"/>
        </w:rPr>
        <w:t>et les importateurs</w:t>
      </w:r>
    </w:p>
    <w:p w14:paraId="38251B11" w14:textId="6E71AEA4" w:rsidR="00CE5EA1" w:rsidRPr="00D16E3C" w:rsidRDefault="003E5BCB" w:rsidP="00CE5EA1">
      <w:pPr>
        <w:pStyle w:val="FiBLmrstandard"/>
        <w:rPr>
          <w:lang w:val="fr-FR"/>
        </w:rPr>
      </w:pPr>
      <w:r w:rsidRPr="00D16E3C">
        <w:rPr>
          <w:lang w:val="fr-FR"/>
        </w:rPr>
        <w:t xml:space="preserve">On </w:t>
      </w:r>
      <w:r w:rsidR="00CD69F7">
        <w:rPr>
          <w:lang w:val="fr-FR"/>
        </w:rPr>
        <w:t>recense</w:t>
      </w:r>
      <w:r w:rsidRPr="00D16E3C">
        <w:rPr>
          <w:lang w:val="fr-FR"/>
        </w:rPr>
        <w:t xml:space="preserve"> </w:t>
      </w:r>
      <w:r w:rsidR="00CD69F7">
        <w:rPr>
          <w:lang w:val="fr-FR"/>
        </w:rPr>
        <w:t>près de</w:t>
      </w:r>
      <w:r w:rsidR="004D1BBF" w:rsidRPr="00D16E3C">
        <w:rPr>
          <w:lang w:val="fr-FR"/>
        </w:rPr>
        <w:t xml:space="preserve"> 76</w:t>
      </w:r>
      <w:r w:rsidR="006063DB" w:rsidRPr="00D16E3C">
        <w:rPr>
          <w:lang w:val="fr-FR"/>
        </w:rPr>
        <w:t>'000</w:t>
      </w:r>
      <w:r w:rsidRPr="00D16E3C">
        <w:rPr>
          <w:lang w:val="fr-FR"/>
        </w:rPr>
        <w:t> transformateurs bio en</w:t>
      </w:r>
      <w:r w:rsidR="00CE5EA1" w:rsidRPr="00D16E3C">
        <w:rPr>
          <w:lang w:val="fr-FR"/>
        </w:rPr>
        <w:t xml:space="preserve"> Europ</w:t>
      </w:r>
      <w:r w:rsidRPr="00D16E3C">
        <w:rPr>
          <w:lang w:val="fr-FR"/>
        </w:rPr>
        <w:t xml:space="preserve">e et </w:t>
      </w:r>
      <w:r w:rsidR="00CD69F7">
        <w:rPr>
          <w:lang w:val="fr-FR"/>
        </w:rPr>
        <w:t xml:space="preserve">quelque </w:t>
      </w:r>
      <w:r w:rsidR="004D1BBF" w:rsidRPr="00D16E3C">
        <w:rPr>
          <w:lang w:val="fr-FR"/>
        </w:rPr>
        <w:t>71</w:t>
      </w:r>
      <w:r w:rsidR="00CE5EA1" w:rsidRPr="00D16E3C">
        <w:rPr>
          <w:lang w:val="fr-FR"/>
        </w:rPr>
        <w:t xml:space="preserve">'000 </w:t>
      </w:r>
      <w:r w:rsidR="00EC19C4" w:rsidRPr="00D16E3C">
        <w:rPr>
          <w:lang w:val="fr-FR"/>
        </w:rPr>
        <w:t>dans l’Union européenne</w:t>
      </w:r>
      <w:r w:rsidR="00CE5EA1" w:rsidRPr="00D16E3C">
        <w:rPr>
          <w:lang w:val="fr-FR"/>
        </w:rPr>
        <w:t xml:space="preserve">. </w:t>
      </w:r>
      <w:r w:rsidR="00145F0B" w:rsidRPr="00D16E3C">
        <w:rPr>
          <w:lang w:val="fr-FR"/>
        </w:rPr>
        <w:t>Près de</w:t>
      </w:r>
      <w:r w:rsidR="00245F21" w:rsidRPr="00D16E3C">
        <w:rPr>
          <w:lang w:val="fr-FR"/>
        </w:rPr>
        <w:t xml:space="preserve"> 5</w:t>
      </w:r>
      <w:r w:rsidR="00CE5EA1" w:rsidRPr="00D16E3C">
        <w:rPr>
          <w:lang w:val="fr-FR"/>
        </w:rPr>
        <w:t>'</w:t>
      </w:r>
      <w:r w:rsidR="00977A8E" w:rsidRPr="00D16E3C">
        <w:rPr>
          <w:lang w:val="fr-FR"/>
        </w:rPr>
        <w:t>8</w:t>
      </w:r>
      <w:r w:rsidR="00CE5EA1" w:rsidRPr="00D16E3C">
        <w:rPr>
          <w:lang w:val="fr-FR"/>
        </w:rPr>
        <w:t xml:space="preserve">00 </w:t>
      </w:r>
      <w:r w:rsidR="00EC19C4" w:rsidRPr="00D16E3C">
        <w:rPr>
          <w:lang w:val="fr-FR"/>
        </w:rPr>
        <w:t>i</w:t>
      </w:r>
      <w:r w:rsidR="00CE5EA1" w:rsidRPr="00D16E3C">
        <w:rPr>
          <w:lang w:val="fr-FR"/>
        </w:rPr>
        <w:t>mport</w:t>
      </w:r>
      <w:r w:rsidR="00EC19C4" w:rsidRPr="00D16E3C">
        <w:rPr>
          <w:lang w:val="fr-FR"/>
        </w:rPr>
        <w:t>at</w:t>
      </w:r>
      <w:r w:rsidR="00CE5EA1" w:rsidRPr="00D16E3C">
        <w:rPr>
          <w:lang w:val="fr-FR"/>
        </w:rPr>
        <w:t>eu</w:t>
      </w:r>
      <w:r w:rsidR="00CE5EA1" w:rsidRPr="00A60037">
        <w:rPr>
          <w:lang w:val="fr-FR"/>
        </w:rPr>
        <w:t>r</w:t>
      </w:r>
      <w:r w:rsidR="00EC19C4" w:rsidRPr="00A60037">
        <w:rPr>
          <w:lang w:val="fr-FR"/>
        </w:rPr>
        <w:t>s</w:t>
      </w:r>
      <w:r w:rsidR="00CE5EA1" w:rsidRPr="00A60037">
        <w:rPr>
          <w:lang w:val="fr-FR"/>
        </w:rPr>
        <w:t xml:space="preserve"> </w:t>
      </w:r>
      <w:r w:rsidR="00EC19C4" w:rsidRPr="00A60037">
        <w:rPr>
          <w:lang w:val="fr-FR"/>
        </w:rPr>
        <w:t xml:space="preserve">ont été </w:t>
      </w:r>
      <w:r w:rsidR="00A60037" w:rsidRPr="00A60037">
        <w:rPr>
          <w:lang w:val="fr-FR"/>
        </w:rPr>
        <w:t>dénombrés</w:t>
      </w:r>
      <w:r w:rsidR="00EC19C4" w:rsidRPr="00A60037">
        <w:rPr>
          <w:lang w:val="fr-FR"/>
        </w:rPr>
        <w:t xml:space="preserve"> </w:t>
      </w:r>
      <w:r w:rsidR="00EC19C4" w:rsidRPr="00D16E3C">
        <w:rPr>
          <w:lang w:val="fr-FR"/>
        </w:rPr>
        <w:t xml:space="preserve">en Europe et </w:t>
      </w:r>
      <w:r w:rsidR="00CD69F7">
        <w:rPr>
          <w:lang w:val="fr-FR"/>
        </w:rPr>
        <w:t xml:space="preserve">environ </w:t>
      </w:r>
      <w:r w:rsidR="00977A8E" w:rsidRPr="00D16E3C">
        <w:rPr>
          <w:lang w:val="fr-FR"/>
        </w:rPr>
        <w:t>5</w:t>
      </w:r>
      <w:r w:rsidR="00CE5EA1" w:rsidRPr="00D16E3C">
        <w:rPr>
          <w:lang w:val="fr-FR"/>
        </w:rPr>
        <w:t>'</w:t>
      </w:r>
      <w:r w:rsidR="00977A8E" w:rsidRPr="00D16E3C">
        <w:rPr>
          <w:lang w:val="fr-FR"/>
        </w:rPr>
        <w:t>0</w:t>
      </w:r>
      <w:r w:rsidR="00CE5EA1" w:rsidRPr="00D16E3C">
        <w:rPr>
          <w:lang w:val="fr-FR"/>
        </w:rPr>
        <w:t xml:space="preserve">00 </w:t>
      </w:r>
      <w:r w:rsidR="00EC19C4" w:rsidRPr="00D16E3C">
        <w:rPr>
          <w:lang w:val="fr-FR"/>
        </w:rPr>
        <w:t xml:space="preserve">dans l’Union européenne. </w:t>
      </w:r>
      <w:r w:rsidR="000C52D0" w:rsidRPr="00D16E3C">
        <w:rPr>
          <w:lang w:val="fr-FR"/>
        </w:rPr>
        <w:t>L’Italie compt</w:t>
      </w:r>
      <w:r w:rsidR="00CD69F7">
        <w:rPr>
          <w:lang w:val="fr-FR"/>
        </w:rPr>
        <w:t>e</w:t>
      </w:r>
      <w:r w:rsidR="000C52D0" w:rsidRPr="00D16E3C">
        <w:rPr>
          <w:lang w:val="fr-FR"/>
        </w:rPr>
        <w:t xml:space="preserve"> le plus grand nombre de transformateurs </w:t>
      </w:r>
      <w:r w:rsidR="00CE5EA1" w:rsidRPr="00D16E3C">
        <w:rPr>
          <w:lang w:val="fr-FR"/>
        </w:rPr>
        <w:t>(</w:t>
      </w:r>
      <w:r w:rsidR="000C52D0" w:rsidRPr="00D16E3C">
        <w:rPr>
          <w:lang w:val="fr-FR"/>
        </w:rPr>
        <w:t>plus de</w:t>
      </w:r>
      <w:r w:rsidR="00022073" w:rsidRPr="00D16E3C">
        <w:rPr>
          <w:lang w:val="fr-FR"/>
        </w:rPr>
        <w:t xml:space="preserve"> </w:t>
      </w:r>
      <w:r w:rsidR="00977A8E" w:rsidRPr="00D16E3C">
        <w:rPr>
          <w:lang w:val="fr-FR"/>
        </w:rPr>
        <w:t>20</w:t>
      </w:r>
      <w:r w:rsidR="00CE5EA1" w:rsidRPr="00D16E3C">
        <w:rPr>
          <w:lang w:val="fr-FR"/>
        </w:rPr>
        <w:t xml:space="preserve">'000), </w:t>
      </w:r>
      <w:r w:rsidR="000C52D0" w:rsidRPr="00D16E3C">
        <w:rPr>
          <w:lang w:val="fr-FR"/>
        </w:rPr>
        <w:t>tandis que l’Allemagne</w:t>
      </w:r>
      <w:r w:rsidR="000C52D0" w:rsidRPr="004324AF">
        <w:rPr>
          <w:lang w:val="fr-FR"/>
        </w:rPr>
        <w:t xml:space="preserve"> présent</w:t>
      </w:r>
      <w:r w:rsidR="00CD69F7">
        <w:rPr>
          <w:lang w:val="fr-FR"/>
        </w:rPr>
        <w:t>e</w:t>
      </w:r>
      <w:r w:rsidR="000C52D0" w:rsidRPr="004324AF">
        <w:rPr>
          <w:lang w:val="fr-FR"/>
        </w:rPr>
        <w:t xml:space="preserve"> </w:t>
      </w:r>
      <w:r w:rsidR="000C52D0" w:rsidRPr="00D16E3C">
        <w:rPr>
          <w:lang w:val="fr-FR"/>
        </w:rPr>
        <w:t xml:space="preserve">le plus </w:t>
      </w:r>
      <w:r w:rsidR="00CD69F7">
        <w:rPr>
          <w:lang w:val="fr-FR"/>
        </w:rPr>
        <w:t xml:space="preserve">grand nombre </w:t>
      </w:r>
      <w:r w:rsidR="000C52D0" w:rsidRPr="00D16E3C">
        <w:rPr>
          <w:lang w:val="fr-FR"/>
        </w:rPr>
        <w:t>d’importateurs</w:t>
      </w:r>
      <w:r w:rsidR="00CE5EA1" w:rsidRPr="00D16E3C">
        <w:rPr>
          <w:lang w:val="fr-FR"/>
        </w:rPr>
        <w:t xml:space="preserve"> (</w:t>
      </w:r>
      <w:r w:rsidR="000C52D0" w:rsidRPr="00D16E3C">
        <w:rPr>
          <w:lang w:val="fr-FR"/>
        </w:rPr>
        <w:t>plus de</w:t>
      </w:r>
      <w:r w:rsidR="00CE5EA1" w:rsidRPr="00D16E3C">
        <w:rPr>
          <w:lang w:val="fr-FR"/>
        </w:rPr>
        <w:t xml:space="preserve"> 1'</w:t>
      </w:r>
      <w:r w:rsidR="007C4B79" w:rsidRPr="00D16E3C">
        <w:rPr>
          <w:lang w:val="fr-FR"/>
        </w:rPr>
        <w:t>7</w:t>
      </w:r>
      <w:r w:rsidR="00CE5EA1" w:rsidRPr="00D16E3C">
        <w:rPr>
          <w:lang w:val="fr-FR"/>
        </w:rPr>
        <w:t>00).</w:t>
      </w:r>
    </w:p>
    <w:p w14:paraId="028C3F49" w14:textId="2AE6A8E8" w:rsidR="00CE5EA1" w:rsidRPr="00387804" w:rsidRDefault="00271C9A" w:rsidP="00022073">
      <w:pPr>
        <w:pStyle w:val="FiBLmrsubheader"/>
        <w:rPr>
          <w:lang w:val="fr-FR"/>
        </w:rPr>
      </w:pPr>
      <w:r w:rsidRPr="00387804">
        <w:rPr>
          <w:lang w:val="fr-FR"/>
        </w:rPr>
        <w:t>L</w:t>
      </w:r>
      <w:r w:rsidR="00CD69F7">
        <w:rPr>
          <w:lang w:val="fr-FR"/>
        </w:rPr>
        <w:t xml:space="preserve">e chiffre d’affaires du </w:t>
      </w:r>
      <w:r w:rsidRPr="00387804">
        <w:rPr>
          <w:lang w:val="fr-FR"/>
        </w:rPr>
        <w:t xml:space="preserve">commerce de détail </w:t>
      </w:r>
      <w:r w:rsidR="00387804" w:rsidRPr="00387804">
        <w:rPr>
          <w:lang w:val="fr-FR"/>
        </w:rPr>
        <w:t>dépass</w:t>
      </w:r>
      <w:r w:rsidR="00CD69F7">
        <w:rPr>
          <w:lang w:val="fr-FR"/>
        </w:rPr>
        <w:t>e</w:t>
      </w:r>
      <w:r w:rsidR="00387804" w:rsidRPr="00387804">
        <w:rPr>
          <w:lang w:val="fr-FR"/>
        </w:rPr>
        <w:t xml:space="preserve"> les</w:t>
      </w:r>
      <w:r w:rsidR="007C4B79" w:rsidRPr="00387804">
        <w:rPr>
          <w:lang w:val="fr-FR"/>
        </w:rPr>
        <w:t xml:space="preserve"> </w:t>
      </w:r>
      <w:r w:rsidR="00F26625" w:rsidRPr="00387804">
        <w:rPr>
          <w:lang w:val="fr-FR"/>
        </w:rPr>
        <w:t>40</w:t>
      </w:r>
      <w:r w:rsidR="008F0EE1" w:rsidRPr="00387804">
        <w:rPr>
          <w:lang w:val="fr-FR"/>
        </w:rPr>
        <w:t> milliards d’euros</w:t>
      </w:r>
    </w:p>
    <w:p w14:paraId="59647A68" w14:textId="1BBFCEB0" w:rsidR="00CE5EA1" w:rsidRPr="002302C3" w:rsidRDefault="002302C3" w:rsidP="005909ED">
      <w:pPr>
        <w:pStyle w:val="FiBLmrstandard"/>
        <w:keepNext/>
        <w:spacing w:before="120"/>
        <w:rPr>
          <w:lang w:val="fr-FR"/>
        </w:rPr>
      </w:pPr>
      <w:r w:rsidRPr="002302C3">
        <w:rPr>
          <w:lang w:val="fr-FR"/>
        </w:rPr>
        <w:t xml:space="preserve">En </w:t>
      </w:r>
      <w:r w:rsidRPr="00AD5653">
        <w:rPr>
          <w:lang w:val="fr-FR"/>
        </w:rPr>
        <w:t xml:space="preserve">Europe, </w:t>
      </w:r>
      <w:r w:rsidRPr="00CD69F7">
        <w:rPr>
          <w:lang w:val="fr-FR"/>
        </w:rPr>
        <w:t xml:space="preserve">le </w:t>
      </w:r>
      <w:r w:rsidR="00CD69F7" w:rsidRPr="00CD69F7">
        <w:rPr>
          <w:lang w:val="fr-FR"/>
        </w:rPr>
        <w:t>chiffre d’affaires</w:t>
      </w:r>
      <w:r w:rsidR="00941163" w:rsidRPr="00CD69F7">
        <w:rPr>
          <w:lang w:val="fr-FR"/>
        </w:rPr>
        <w:t xml:space="preserve"> du commerce de détail</w:t>
      </w:r>
      <w:r w:rsidRPr="00CD69F7">
        <w:rPr>
          <w:lang w:val="fr-FR"/>
        </w:rPr>
        <w:t xml:space="preserve"> </w:t>
      </w:r>
      <w:r w:rsidRPr="00E876D5">
        <w:rPr>
          <w:lang w:val="fr-FR"/>
        </w:rPr>
        <w:t>s’</w:t>
      </w:r>
      <w:r w:rsidR="000A29B4" w:rsidRPr="00E876D5">
        <w:rPr>
          <w:lang w:val="fr-FR"/>
        </w:rPr>
        <w:t>él</w:t>
      </w:r>
      <w:r w:rsidR="00CD69F7" w:rsidRPr="00E876D5">
        <w:rPr>
          <w:lang w:val="fr-FR"/>
        </w:rPr>
        <w:t>ève</w:t>
      </w:r>
      <w:r w:rsidRPr="00AD5653">
        <w:rPr>
          <w:lang w:val="fr-FR"/>
        </w:rPr>
        <w:t xml:space="preserve"> à </w:t>
      </w:r>
      <w:r w:rsidR="00F26625" w:rsidRPr="00AD5653">
        <w:rPr>
          <w:lang w:val="fr-FR"/>
        </w:rPr>
        <w:t>40</w:t>
      </w:r>
      <w:r w:rsidR="00CE5EA1" w:rsidRPr="002302C3">
        <w:rPr>
          <w:lang w:val="fr-FR"/>
        </w:rPr>
        <w:t>,</w:t>
      </w:r>
      <w:r w:rsidR="00F26625" w:rsidRPr="002302C3">
        <w:rPr>
          <w:lang w:val="fr-FR"/>
        </w:rPr>
        <w:t>7</w:t>
      </w:r>
      <w:r w:rsidRPr="002302C3">
        <w:rPr>
          <w:lang w:val="fr-FR"/>
        </w:rPr>
        <w:t xml:space="preserve"> milliards </w:t>
      </w:r>
      <w:r>
        <w:rPr>
          <w:lang w:val="fr-FR"/>
        </w:rPr>
        <w:t>d’euros</w:t>
      </w:r>
      <w:r w:rsidR="00CE5EA1" w:rsidRPr="002302C3">
        <w:rPr>
          <w:lang w:val="fr-FR"/>
        </w:rPr>
        <w:t xml:space="preserve"> (3</w:t>
      </w:r>
      <w:r w:rsidR="00F26625" w:rsidRPr="002302C3">
        <w:rPr>
          <w:lang w:val="fr-FR"/>
        </w:rPr>
        <w:t>7</w:t>
      </w:r>
      <w:r w:rsidR="00CE5EA1" w:rsidRPr="002302C3">
        <w:rPr>
          <w:lang w:val="fr-FR"/>
        </w:rPr>
        <w:t>,</w:t>
      </w:r>
      <w:r w:rsidR="00F26625" w:rsidRPr="002302C3">
        <w:rPr>
          <w:lang w:val="fr-FR"/>
        </w:rPr>
        <w:t>4</w:t>
      </w:r>
      <w:r>
        <w:rPr>
          <w:lang w:val="fr-FR"/>
        </w:rPr>
        <w:t> m</w:t>
      </w:r>
      <w:r w:rsidR="00CE5EA1" w:rsidRPr="002302C3">
        <w:rPr>
          <w:lang w:val="fr-FR"/>
        </w:rPr>
        <w:t>illiard</w:t>
      </w:r>
      <w:r>
        <w:rPr>
          <w:lang w:val="fr-FR"/>
        </w:rPr>
        <w:t>s</w:t>
      </w:r>
      <w:r w:rsidR="00CE5EA1" w:rsidRPr="002302C3">
        <w:rPr>
          <w:lang w:val="fr-FR"/>
        </w:rPr>
        <w:t xml:space="preserve"> </w:t>
      </w:r>
      <w:r>
        <w:rPr>
          <w:lang w:val="fr-FR"/>
        </w:rPr>
        <w:t>d’euros dans l’Union européenne</w:t>
      </w:r>
      <w:r w:rsidR="00CE5EA1" w:rsidRPr="002302C3">
        <w:rPr>
          <w:lang w:val="fr-FR"/>
        </w:rPr>
        <w:t xml:space="preserve">). </w:t>
      </w:r>
      <w:r w:rsidRPr="002302C3">
        <w:rPr>
          <w:lang w:val="fr-FR"/>
        </w:rPr>
        <w:t xml:space="preserve">L’Union européenne </w:t>
      </w:r>
      <w:r w:rsidR="005E2D32">
        <w:rPr>
          <w:lang w:val="fr-FR"/>
        </w:rPr>
        <w:t>représente</w:t>
      </w:r>
      <w:r w:rsidRPr="002302C3">
        <w:rPr>
          <w:lang w:val="fr-FR"/>
        </w:rPr>
        <w:t xml:space="preserve">, </w:t>
      </w:r>
      <w:r w:rsidRPr="00996C6A">
        <w:rPr>
          <w:lang w:val="fr-FR"/>
        </w:rPr>
        <w:t>après</w:t>
      </w:r>
      <w:r w:rsidRPr="005E2D32">
        <w:rPr>
          <w:lang w:val="fr-FR"/>
        </w:rPr>
        <w:t xml:space="preserve"> les </w:t>
      </w:r>
      <w:r w:rsidRPr="002302C3">
        <w:rPr>
          <w:lang w:val="fr-FR"/>
        </w:rPr>
        <w:t xml:space="preserve">États-Unis </w:t>
      </w:r>
      <w:r w:rsidR="007C4B79" w:rsidRPr="002302C3">
        <w:rPr>
          <w:lang w:val="fr-FR"/>
        </w:rPr>
        <w:t>(40</w:t>
      </w:r>
      <w:r w:rsidR="00F26625" w:rsidRPr="002302C3">
        <w:rPr>
          <w:lang w:val="fr-FR"/>
        </w:rPr>
        <w:t>,6</w:t>
      </w:r>
      <w:r w:rsidRPr="002302C3">
        <w:rPr>
          <w:lang w:val="fr-FR"/>
        </w:rPr>
        <w:t> milliards d’euros</w:t>
      </w:r>
      <w:r w:rsidR="007C4B79" w:rsidRPr="002302C3">
        <w:rPr>
          <w:lang w:val="fr-FR"/>
        </w:rPr>
        <w:t>)</w:t>
      </w:r>
      <w:r w:rsidRPr="002302C3">
        <w:rPr>
          <w:lang w:val="fr-FR"/>
        </w:rPr>
        <w:t>,</w:t>
      </w:r>
      <w:r w:rsidR="007C4B79" w:rsidRPr="002302C3">
        <w:rPr>
          <w:lang w:val="fr-FR"/>
        </w:rPr>
        <w:t xml:space="preserve"> </w:t>
      </w:r>
      <w:r w:rsidRPr="002302C3">
        <w:rPr>
          <w:lang w:val="fr-FR"/>
        </w:rPr>
        <w:t>le deuxiè</w:t>
      </w:r>
      <w:r>
        <w:rPr>
          <w:lang w:val="fr-FR"/>
        </w:rPr>
        <w:t xml:space="preserve">me marché intérieur pour les produits bio. </w:t>
      </w:r>
      <w:r w:rsidRPr="002302C3">
        <w:rPr>
          <w:lang w:val="fr-FR"/>
        </w:rPr>
        <w:t xml:space="preserve">Le pays européen </w:t>
      </w:r>
      <w:r w:rsidR="00CD69F7">
        <w:rPr>
          <w:lang w:val="fr-FR"/>
        </w:rPr>
        <w:t>ayant</w:t>
      </w:r>
      <w:r w:rsidRPr="002302C3">
        <w:rPr>
          <w:lang w:val="fr-FR"/>
        </w:rPr>
        <w:t xml:space="preserve"> le plus grand marché intérieur </w:t>
      </w:r>
      <w:r>
        <w:rPr>
          <w:lang w:val="fr-FR"/>
        </w:rPr>
        <w:t>est l’Allemagne</w:t>
      </w:r>
      <w:r w:rsidR="00313532" w:rsidRPr="002302C3">
        <w:rPr>
          <w:lang w:val="fr-FR"/>
        </w:rPr>
        <w:t xml:space="preserve"> (10</w:t>
      </w:r>
      <w:r w:rsidR="00F26625" w:rsidRPr="002302C3">
        <w:rPr>
          <w:lang w:val="fr-FR"/>
        </w:rPr>
        <w:t>,9</w:t>
      </w:r>
      <w:r>
        <w:rPr>
          <w:lang w:val="fr-FR"/>
        </w:rPr>
        <w:t> milliards d’euros</w:t>
      </w:r>
      <w:r w:rsidR="00313532" w:rsidRPr="002302C3">
        <w:rPr>
          <w:lang w:val="fr-FR"/>
        </w:rPr>
        <w:t xml:space="preserve">). </w:t>
      </w:r>
    </w:p>
    <w:p w14:paraId="7EB8CC09" w14:textId="6C60F555" w:rsidR="00CE5EA1" w:rsidRPr="00F51D7F" w:rsidRDefault="00F51D7F" w:rsidP="00022073">
      <w:pPr>
        <w:pStyle w:val="FiBLmrsubheader"/>
        <w:rPr>
          <w:lang w:val="fr-FR"/>
        </w:rPr>
      </w:pPr>
      <w:r w:rsidRPr="006D7225">
        <w:rPr>
          <w:lang w:val="fr-FR"/>
        </w:rPr>
        <w:t xml:space="preserve">Volume des ventes </w:t>
      </w:r>
      <w:r w:rsidR="005E2D32" w:rsidRPr="006D7225">
        <w:rPr>
          <w:lang w:val="fr-FR"/>
        </w:rPr>
        <w:t>du commerce de</w:t>
      </w:r>
      <w:r w:rsidRPr="006D7225">
        <w:rPr>
          <w:lang w:val="fr-FR"/>
        </w:rPr>
        <w:t xml:space="preserve"> détail en</w:t>
      </w:r>
      <w:r w:rsidRPr="00996C6A">
        <w:rPr>
          <w:lang w:val="fr-FR"/>
        </w:rPr>
        <w:t xml:space="preserve"> croissance </w:t>
      </w:r>
      <w:r>
        <w:rPr>
          <w:lang w:val="fr-FR"/>
        </w:rPr>
        <w:t>continue</w:t>
      </w:r>
    </w:p>
    <w:p w14:paraId="12786777" w14:textId="28C0F4EB" w:rsidR="00CE5EA1" w:rsidRPr="00D378CC" w:rsidRDefault="00F51D7F" w:rsidP="005909ED">
      <w:pPr>
        <w:pStyle w:val="FiBLmrstandard"/>
        <w:keepNext/>
        <w:spacing w:before="120"/>
        <w:rPr>
          <w:lang w:val="fr-FR"/>
        </w:rPr>
      </w:pPr>
      <w:r w:rsidRPr="00A32159">
        <w:rPr>
          <w:lang w:val="fr-FR"/>
        </w:rPr>
        <w:t xml:space="preserve">Le marché européen a enregistré une croissance de </w:t>
      </w:r>
      <w:r w:rsidR="00C20662" w:rsidRPr="00A32159">
        <w:rPr>
          <w:lang w:val="fr-FR"/>
        </w:rPr>
        <w:t>7,8</w:t>
      </w:r>
      <w:r w:rsidRPr="00A32159">
        <w:rPr>
          <w:lang w:val="fr-FR"/>
        </w:rPr>
        <w:t> % en 2018</w:t>
      </w:r>
      <w:r w:rsidR="007000BE" w:rsidRPr="00A32159">
        <w:rPr>
          <w:lang w:val="fr-FR"/>
        </w:rPr>
        <w:t xml:space="preserve">. </w:t>
      </w:r>
      <w:r w:rsidRPr="00D378CC">
        <w:rPr>
          <w:lang w:val="fr-FR"/>
        </w:rPr>
        <w:t xml:space="preserve">Parmi les marchés clés, la </w:t>
      </w:r>
      <w:r w:rsidR="00D378CC" w:rsidRPr="00D378CC">
        <w:rPr>
          <w:lang w:val="fr-FR"/>
        </w:rPr>
        <w:t xml:space="preserve">plus forte </w:t>
      </w:r>
      <w:r w:rsidR="00D378CC" w:rsidRPr="009905D4">
        <w:rPr>
          <w:lang w:val="fr-FR"/>
        </w:rPr>
        <w:t>croissance a été observée en France</w:t>
      </w:r>
      <w:r w:rsidR="007000BE" w:rsidRPr="009905D4">
        <w:rPr>
          <w:lang w:val="fr-FR"/>
        </w:rPr>
        <w:t xml:space="preserve"> (15,4</w:t>
      </w:r>
      <w:r w:rsidR="00D378CC" w:rsidRPr="009905D4">
        <w:rPr>
          <w:lang w:val="fr-FR"/>
        </w:rPr>
        <w:t> %</w:t>
      </w:r>
      <w:r w:rsidR="007000BE" w:rsidRPr="009905D4">
        <w:rPr>
          <w:lang w:val="fr-FR"/>
        </w:rPr>
        <w:t>)</w:t>
      </w:r>
      <w:r w:rsidR="00CE5EA1" w:rsidRPr="009905D4">
        <w:rPr>
          <w:lang w:val="fr-FR"/>
        </w:rPr>
        <w:t>.</w:t>
      </w:r>
      <w:r w:rsidR="002B7322" w:rsidRPr="009905D4">
        <w:rPr>
          <w:lang w:val="fr-FR"/>
        </w:rPr>
        <w:t xml:space="preserve"> </w:t>
      </w:r>
      <w:r w:rsidR="00D378CC" w:rsidRPr="009905D4">
        <w:rPr>
          <w:lang w:val="fr-FR"/>
        </w:rPr>
        <w:t>Au cours de la décennie</w:t>
      </w:r>
      <w:r w:rsidR="007000BE" w:rsidRPr="009905D4">
        <w:rPr>
          <w:lang w:val="fr-FR"/>
        </w:rPr>
        <w:t xml:space="preserve"> 2009</w:t>
      </w:r>
      <w:r w:rsidR="00186401">
        <w:rPr>
          <w:lang w:val="fr-FR"/>
        </w:rPr>
        <w:t>-</w:t>
      </w:r>
      <w:r w:rsidR="007000BE" w:rsidRPr="009905D4">
        <w:rPr>
          <w:lang w:val="fr-FR"/>
        </w:rPr>
        <w:t>2018</w:t>
      </w:r>
      <w:r w:rsidR="00D378CC" w:rsidRPr="00CD69F7">
        <w:rPr>
          <w:lang w:val="fr-FR"/>
        </w:rPr>
        <w:t xml:space="preserve">, le volume des ventes </w:t>
      </w:r>
      <w:r w:rsidR="00BD31EA" w:rsidRPr="00CD69F7">
        <w:rPr>
          <w:lang w:val="fr-FR"/>
        </w:rPr>
        <w:t>du commerce de</w:t>
      </w:r>
      <w:r w:rsidR="00D378CC" w:rsidRPr="00CD69F7">
        <w:rPr>
          <w:lang w:val="fr-FR"/>
        </w:rPr>
        <w:t xml:space="preserve"> détail a</w:t>
      </w:r>
      <w:r w:rsidR="00D378CC" w:rsidRPr="009905D4">
        <w:rPr>
          <w:lang w:val="fr-FR"/>
        </w:rPr>
        <w:t xml:space="preserve"> </w:t>
      </w:r>
      <w:r w:rsidR="00D378CC">
        <w:rPr>
          <w:lang w:val="fr-FR"/>
        </w:rPr>
        <w:t>plus que doublé en Europe et dans l’Union européenne</w:t>
      </w:r>
      <w:r w:rsidR="007000BE" w:rsidRPr="00D378CC">
        <w:rPr>
          <w:lang w:val="fr-FR"/>
        </w:rPr>
        <w:t>.</w:t>
      </w:r>
    </w:p>
    <w:p w14:paraId="3025ECD0" w14:textId="6DBBE487" w:rsidR="00CE5EA1" w:rsidRPr="00357CC7" w:rsidRDefault="00357CC7" w:rsidP="00022073">
      <w:pPr>
        <w:pStyle w:val="FiBLmrsubheader"/>
        <w:rPr>
          <w:lang w:val="fr-FR"/>
        </w:rPr>
      </w:pPr>
      <w:r w:rsidRPr="00357CC7">
        <w:rPr>
          <w:lang w:val="fr-FR"/>
        </w:rPr>
        <w:t xml:space="preserve">Les consommateurs européens dépensent davantage </w:t>
      </w:r>
      <w:r w:rsidRPr="00577FFB">
        <w:rPr>
          <w:lang w:val="fr-FR"/>
        </w:rPr>
        <w:t xml:space="preserve">pour </w:t>
      </w:r>
      <w:r w:rsidR="00577FFB">
        <w:rPr>
          <w:lang w:val="fr-FR"/>
        </w:rPr>
        <w:t>d</w:t>
      </w:r>
      <w:r w:rsidRPr="00577FFB">
        <w:rPr>
          <w:lang w:val="fr-FR"/>
        </w:rPr>
        <w:t xml:space="preserve">es aliments </w:t>
      </w:r>
      <w:r w:rsidRPr="00357CC7">
        <w:rPr>
          <w:lang w:val="fr-FR"/>
        </w:rPr>
        <w:t>bio</w:t>
      </w:r>
    </w:p>
    <w:p w14:paraId="39FAC453" w14:textId="79D83AF1" w:rsidR="00CE5EA1" w:rsidRPr="0023521E" w:rsidRDefault="00C00E6E" w:rsidP="005909ED">
      <w:pPr>
        <w:pStyle w:val="FiBLmrstandard"/>
        <w:keepNext/>
        <w:spacing w:before="120"/>
        <w:rPr>
          <w:lang w:val="fr-FR"/>
        </w:rPr>
      </w:pPr>
      <w:r>
        <w:rPr>
          <w:lang w:val="fr-FR"/>
        </w:rPr>
        <w:t>En 2018, e</w:t>
      </w:r>
      <w:r w:rsidR="00357CC7">
        <w:rPr>
          <w:lang w:val="fr-FR"/>
        </w:rPr>
        <w:t>n Europe</w:t>
      </w:r>
      <w:r w:rsidR="00357CC7" w:rsidRPr="00357CC7">
        <w:rPr>
          <w:lang w:val="fr-FR"/>
        </w:rPr>
        <w:t xml:space="preserve">, les consommateurs ont dépensé </w:t>
      </w:r>
      <w:r w:rsidR="006848D5" w:rsidRPr="00357CC7">
        <w:rPr>
          <w:lang w:val="fr-FR"/>
        </w:rPr>
        <w:t>50</w:t>
      </w:r>
      <w:r w:rsidR="00357CC7" w:rsidRPr="00357CC7">
        <w:rPr>
          <w:lang w:val="fr-FR"/>
        </w:rPr>
        <w:t xml:space="preserve"> euros </w:t>
      </w:r>
      <w:r w:rsidR="00357CC7">
        <w:rPr>
          <w:lang w:val="fr-FR"/>
        </w:rPr>
        <w:t xml:space="preserve">par </w:t>
      </w:r>
      <w:r w:rsidR="00577FFB">
        <w:rPr>
          <w:lang w:val="fr-FR"/>
        </w:rPr>
        <w:t>personne</w:t>
      </w:r>
      <w:r w:rsidR="00357CC7">
        <w:rPr>
          <w:lang w:val="fr-FR"/>
        </w:rPr>
        <w:t xml:space="preserve"> </w:t>
      </w:r>
      <w:r w:rsidR="00357CC7" w:rsidRPr="00577FFB">
        <w:rPr>
          <w:lang w:val="fr-FR"/>
        </w:rPr>
        <w:t xml:space="preserve">pour </w:t>
      </w:r>
      <w:r w:rsidR="006D7225">
        <w:rPr>
          <w:lang w:val="fr-FR"/>
        </w:rPr>
        <w:t>l’achat d’</w:t>
      </w:r>
      <w:r w:rsidR="00357CC7">
        <w:rPr>
          <w:lang w:val="fr-FR"/>
        </w:rPr>
        <w:t>aliments bio</w:t>
      </w:r>
      <w:r w:rsidR="00577FFB">
        <w:rPr>
          <w:lang w:val="fr-FR"/>
        </w:rPr>
        <w:t>logiques</w:t>
      </w:r>
      <w:r w:rsidR="00357CC7">
        <w:rPr>
          <w:lang w:val="fr-FR"/>
        </w:rPr>
        <w:t xml:space="preserve"> </w:t>
      </w:r>
      <w:r>
        <w:rPr>
          <w:lang w:val="fr-FR"/>
        </w:rPr>
        <w:t>(</w:t>
      </w:r>
      <w:r w:rsidR="00357CC7">
        <w:rPr>
          <w:lang w:val="fr-FR"/>
        </w:rPr>
        <w:t>Union européenne</w:t>
      </w:r>
      <w:r w:rsidR="006848D5" w:rsidRPr="00357CC7">
        <w:rPr>
          <w:lang w:val="fr-FR"/>
        </w:rPr>
        <w:t>: 76</w:t>
      </w:r>
      <w:r w:rsidR="00357CC7">
        <w:rPr>
          <w:lang w:val="fr-FR"/>
        </w:rPr>
        <w:t> euros</w:t>
      </w:r>
      <w:r w:rsidR="00CE5EA1" w:rsidRPr="00357CC7">
        <w:rPr>
          <w:lang w:val="fr-FR"/>
        </w:rPr>
        <w:t xml:space="preserve">). </w:t>
      </w:r>
      <w:r w:rsidR="0023521E" w:rsidRPr="0023521E">
        <w:rPr>
          <w:lang w:val="fr-FR"/>
        </w:rPr>
        <w:t xml:space="preserve">Les dépenses </w:t>
      </w:r>
      <w:r w:rsidR="006D7225">
        <w:rPr>
          <w:lang w:val="fr-FR"/>
        </w:rPr>
        <w:t>par habitant pour la</w:t>
      </w:r>
      <w:r w:rsidR="0023521E" w:rsidRPr="0023521E">
        <w:rPr>
          <w:lang w:val="fr-FR"/>
        </w:rPr>
        <w:t xml:space="preserve"> consommation </w:t>
      </w:r>
      <w:r w:rsidR="006D7225">
        <w:rPr>
          <w:lang w:val="fr-FR"/>
        </w:rPr>
        <w:t>d’</w:t>
      </w:r>
      <w:r w:rsidR="0023521E" w:rsidRPr="00577FFB">
        <w:rPr>
          <w:lang w:val="fr-FR"/>
        </w:rPr>
        <w:t xml:space="preserve">aliments bio ont </w:t>
      </w:r>
      <w:r w:rsidR="0023521E" w:rsidRPr="0023521E">
        <w:rPr>
          <w:lang w:val="fr-FR"/>
        </w:rPr>
        <w:t>doublé entre</w:t>
      </w:r>
      <w:r w:rsidR="0023521E">
        <w:rPr>
          <w:lang w:val="fr-FR"/>
        </w:rPr>
        <w:t xml:space="preserve"> </w:t>
      </w:r>
      <w:r w:rsidR="004E26A3" w:rsidRPr="0023521E">
        <w:rPr>
          <w:lang w:val="fr-FR"/>
        </w:rPr>
        <w:t>200</w:t>
      </w:r>
      <w:r w:rsidR="006848D5" w:rsidRPr="0023521E">
        <w:rPr>
          <w:lang w:val="fr-FR"/>
        </w:rPr>
        <w:t xml:space="preserve">9 </w:t>
      </w:r>
      <w:r w:rsidR="0023521E">
        <w:rPr>
          <w:lang w:val="fr-FR"/>
        </w:rPr>
        <w:t xml:space="preserve">et </w:t>
      </w:r>
      <w:r w:rsidR="006848D5" w:rsidRPr="0023521E">
        <w:rPr>
          <w:lang w:val="fr-FR"/>
        </w:rPr>
        <w:t>2018</w:t>
      </w:r>
      <w:r w:rsidR="00CE5EA1" w:rsidRPr="0023521E">
        <w:rPr>
          <w:lang w:val="fr-FR"/>
        </w:rPr>
        <w:t xml:space="preserve">. </w:t>
      </w:r>
      <w:r w:rsidR="0023521E" w:rsidRPr="0023521E">
        <w:rPr>
          <w:lang w:val="fr-FR"/>
        </w:rPr>
        <w:t xml:space="preserve">En </w:t>
      </w:r>
      <w:r w:rsidR="006848D5" w:rsidRPr="0023521E">
        <w:rPr>
          <w:lang w:val="fr-FR"/>
        </w:rPr>
        <w:t>2018</w:t>
      </w:r>
      <w:r w:rsidR="0023521E" w:rsidRPr="0023521E">
        <w:rPr>
          <w:lang w:val="fr-FR"/>
        </w:rPr>
        <w:t xml:space="preserve">, </w:t>
      </w:r>
      <w:r w:rsidR="00577FFB">
        <w:rPr>
          <w:lang w:val="fr-FR"/>
        </w:rPr>
        <w:t xml:space="preserve">ce sont </w:t>
      </w:r>
      <w:r w:rsidR="0023521E" w:rsidRPr="0023521E">
        <w:rPr>
          <w:lang w:val="fr-FR"/>
        </w:rPr>
        <w:t xml:space="preserve">les Danois et les Suisses </w:t>
      </w:r>
      <w:r w:rsidR="00577FFB">
        <w:rPr>
          <w:lang w:val="fr-FR"/>
        </w:rPr>
        <w:t xml:space="preserve">qui </w:t>
      </w:r>
      <w:r w:rsidR="0023521E" w:rsidRPr="0023521E">
        <w:rPr>
          <w:lang w:val="fr-FR"/>
        </w:rPr>
        <w:t xml:space="preserve">ont </w:t>
      </w:r>
      <w:r w:rsidR="006D7225">
        <w:rPr>
          <w:lang w:val="fr-FR"/>
        </w:rPr>
        <w:t xml:space="preserve">le plus </w:t>
      </w:r>
      <w:r w:rsidR="0023521E" w:rsidRPr="0023521E">
        <w:rPr>
          <w:lang w:val="fr-FR"/>
        </w:rPr>
        <w:t xml:space="preserve">dépensé </w:t>
      </w:r>
      <w:r w:rsidR="00577FFB">
        <w:rPr>
          <w:lang w:val="fr-FR"/>
        </w:rPr>
        <w:t xml:space="preserve">pour </w:t>
      </w:r>
      <w:r w:rsidR="006D7225">
        <w:rPr>
          <w:lang w:val="fr-FR"/>
        </w:rPr>
        <w:t>d</w:t>
      </w:r>
      <w:r w:rsidR="00577FFB">
        <w:rPr>
          <w:lang w:val="fr-FR"/>
        </w:rPr>
        <w:t xml:space="preserve">es aliments biologiques </w:t>
      </w:r>
      <w:r w:rsidR="00CE5EA1" w:rsidRPr="0023521E">
        <w:rPr>
          <w:lang w:val="fr-FR"/>
        </w:rPr>
        <w:t>(</w:t>
      </w:r>
      <w:r w:rsidR="006848D5" w:rsidRPr="0023521E">
        <w:rPr>
          <w:lang w:val="fr-FR"/>
        </w:rPr>
        <w:t>312</w:t>
      </w:r>
      <w:r w:rsidR="0023521E">
        <w:rPr>
          <w:lang w:val="fr-FR"/>
        </w:rPr>
        <w:t xml:space="preserve"> euros par </w:t>
      </w:r>
      <w:r w:rsidR="00577FFB">
        <w:rPr>
          <w:lang w:val="fr-FR"/>
        </w:rPr>
        <w:t>habitant</w:t>
      </w:r>
      <w:r w:rsidR="00CE5EA1" w:rsidRPr="0023521E">
        <w:rPr>
          <w:lang w:val="fr-FR"/>
        </w:rPr>
        <w:t xml:space="preserve">). </w:t>
      </w:r>
    </w:p>
    <w:p w14:paraId="644A790B" w14:textId="4E6CE63E" w:rsidR="00CE5EA1" w:rsidRPr="00A32159" w:rsidRDefault="00A32159" w:rsidP="00022073">
      <w:pPr>
        <w:pStyle w:val="FiBLmrsubheader"/>
        <w:rPr>
          <w:lang w:val="fr-FR"/>
        </w:rPr>
      </w:pPr>
      <w:r w:rsidRPr="00A32159">
        <w:rPr>
          <w:lang w:val="fr-FR"/>
        </w:rPr>
        <w:t xml:space="preserve">Avec plus de 11 %, le Danemark </w:t>
      </w:r>
      <w:r w:rsidR="006D7225">
        <w:rPr>
          <w:lang w:val="fr-FR"/>
        </w:rPr>
        <w:t>détient</w:t>
      </w:r>
      <w:r w:rsidRPr="00A32159">
        <w:rPr>
          <w:lang w:val="fr-FR"/>
        </w:rPr>
        <w:t xml:space="preserve"> </w:t>
      </w:r>
      <w:r w:rsidRPr="006520EE">
        <w:rPr>
          <w:lang w:val="fr-FR"/>
        </w:rPr>
        <w:t xml:space="preserve">la part de marché bio la plus élevée </w:t>
      </w:r>
      <w:r>
        <w:rPr>
          <w:lang w:val="fr-FR"/>
        </w:rPr>
        <w:t>au monde</w:t>
      </w:r>
    </w:p>
    <w:p w14:paraId="1812937C" w14:textId="78A0CD57" w:rsidR="00FA25B6" w:rsidRPr="00015F0E" w:rsidRDefault="00041610" w:rsidP="00F1030B">
      <w:pPr>
        <w:pStyle w:val="FiBLmrstandard"/>
        <w:rPr>
          <w:lang w:val="fr-FR"/>
        </w:rPr>
      </w:pPr>
      <w:r w:rsidRPr="009B1E1D">
        <w:rPr>
          <w:lang w:val="fr-FR"/>
        </w:rPr>
        <w:t xml:space="preserve">Dans les pays européens, les </w:t>
      </w:r>
      <w:r w:rsidR="009B1E1D" w:rsidRPr="00EF1422">
        <w:rPr>
          <w:lang w:val="fr-FR"/>
        </w:rPr>
        <w:t xml:space="preserve">ventes bio représentent une part importante du marché </w:t>
      </w:r>
      <w:r w:rsidR="00EF1422">
        <w:rPr>
          <w:lang w:val="fr-FR"/>
        </w:rPr>
        <w:t>tot</w:t>
      </w:r>
      <w:r w:rsidR="009B1E1D" w:rsidRPr="00EF1422">
        <w:rPr>
          <w:lang w:val="fr-FR"/>
        </w:rPr>
        <w:t>al respectif, et le Danemark</w:t>
      </w:r>
      <w:r w:rsidR="006D7225">
        <w:rPr>
          <w:lang w:val="fr-FR"/>
        </w:rPr>
        <w:t xml:space="preserve">, </w:t>
      </w:r>
      <w:r w:rsidR="009B1E1D" w:rsidRPr="00EF1422">
        <w:rPr>
          <w:lang w:val="fr-FR"/>
        </w:rPr>
        <w:t>avec</w:t>
      </w:r>
      <w:r w:rsidR="009B1E1D">
        <w:rPr>
          <w:lang w:val="fr-FR"/>
        </w:rPr>
        <w:t xml:space="preserve"> </w:t>
      </w:r>
      <w:r w:rsidR="001279B5" w:rsidRPr="00EF1422">
        <w:rPr>
          <w:lang w:val="fr-FR"/>
        </w:rPr>
        <w:t>11</w:t>
      </w:r>
      <w:r w:rsidR="001279B5" w:rsidRPr="006520EE">
        <w:rPr>
          <w:lang w:val="fr-FR"/>
        </w:rPr>
        <w:t>,5</w:t>
      </w:r>
      <w:r w:rsidR="009B1E1D" w:rsidRPr="006520EE">
        <w:rPr>
          <w:lang w:val="fr-FR"/>
        </w:rPr>
        <w:t xml:space="preserve"> %, </w:t>
      </w:r>
      <w:r w:rsidR="006D7225">
        <w:rPr>
          <w:lang w:val="fr-FR"/>
        </w:rPr>
        <w:t xml:space="preserve">a </w:t>
      </w:r>
      <w:r w:rsidR="009B1E1D" w:rsidRPr="006520EE">
        <w:rPr>
          <w:lang w:val="fr-FR"/>
        </w:rPr>
        <w:t xml:space="preserve">la part de marché bio la plus élevée au </w:t>
      </w:r>
      <w:r w:rsidR="009B1E1D">
        <w:rPr>
          <w:lang w:val="fr-FR"/>
        </w:rPr>
        <w:t xml:space="preserve">monde. </w:t>
      </w:r>
      <w:r w:rsidR="00015F0E" w:rsidRPr="00015F0E">
        <w:rPr>
          <w:lang w:val="fr-FR"/>
        </w:rPr>
        <w:t xml:space="preserve">Certains produits et groupes de </w:t>
      </w:r>
      <w:r w:rsidR="00015F0E" w:rsidRPr="00311E06">
        <w:rPr>
          <w:lang w:val="fr-FR"/>
        </w:rPr>
        <w:t>produits détiennent même</w:t>
      </w:r>
      <w:r w:rsidR="00015F0E" w:rsidRPr="00EF1422">
        <w:rPr>
          <w:lang w:val="fr-FR"/>
        </w:rPr>
        <w:t xml:space="preserve"> </w:t>
      </w:r>
      <w:r w:rsidR="00015F0E">
        <w:rPr>
          <w:lang w:val="fr-FR"/>
        </w:rPr>
        <w:t xml:space="preserve">des parts encore plus élevées. </w:t>
      </w:r>
      <w:r w:rsidR="00015F0E" w:rsidRPr="00015F0E">
        <w:rPr>
          <w:lang w:val="fr-FR"/>
        </w:rPr>
        <w:t xml:space="preserve">Les œufs bio, par exemple, représentent dans plusieurs pays déjà environ </w:t>
      </w:r>
      <w:r w:rsidR="007C4B79" w:rsidRPr="00015F0E">
        <w:rPr>
          <w:lang w:val="fr-FR"/>
        </w:rPr>
        <w:t>3</w:t>
      </w:r>
      <w:r w:rsidR="00CE5EA1" w:rsidRPr="00015F0E">
        <w:rPr>
          <w:lang w:val="fr-FR"/>
        </w:rPr>
        <w:t>0</w:t>
      </w:r>
      <w:r w:rsidR="00015F0E" w:rsidRPr="00015F0E">
        <w:rPr>
          <w:lang w:val="fr-FR"/>
        </w:rPr>
        <w:t> </w:t>
      </w:r>
      <w:r w:rsidR="00015F0E" w:rsidRPr="00EF1422">
        <w:rPr>
          <w:lang w:val="fr-FR"/>
        </w:rPr>
        <w:t>% de la valeur</w:t>
      </w:r>
      <w:r w:rsidR="00015F0E">
        <w:rPr>
          <w:lang w:val="fr-FR"/>
        </w:rPr>
        <w:t xml:space="preserve"> de tous les œufs vendus</w:t>
      </w:r>
      <w:r w:rsidR="00CE5EA1" w:rsidRPr="00015F0E">
        <w:rPr>
          <w:lang w:val="fr-FR"/>
        </w:rPr>
        <w:t>.</w:t>
      </w:r>
      <w:r w:rsidR="00F1030B" w:rsidRPr="00015F0E">
        <w:rPr>
          <w:lang w:val="fr-FR"/>
        </w:rPr>
        <w:t xml:space="preserve"> </w:t>
      </w:r>
    </w:p>
    <w:p w14:paraId="64BD742D" w14:textId="66777D54" w:rsidR="00FA25B6" w:rsidRPr="00B37E7F" w:rsidRDefault="00B37E7F" w:rsidP="00022073">
      <w:pPr>
        <w:pStyle w:val="FiBLmraddinfo"/>
        <w:rPr>
          <w:lang w:val="fr-FR"/>
        </w:rPr>
      </w:pPr>
      <w:r w:rsidRPr="00B37E7F">
        <w:rPr>
          <w:lang w:val="fr-FR"/>
        </w:rPr>
        <w:lastRenderedPageBreak/>
        <w:t>Collecte de données sur l</w:t>
      </w:r>
      <w:r>
        <w:rPr>
          <w:lang w:val="fr-FR"/>
        </w:rPr>
        <w:t>’agriculture biologique en Europe</w:t>
      </w:r>
    </w:p>
    <w:p w14:paraId="531ED6B6" w14:textId="17A9420B" w:rsidR="00CE5EA1" w:rsidRPr="009034D2" w:rsidRDefault="00860CB4" w:rsidP="00F1030B">
      <w:pPr>
        <w:pStyle w:val="FiBLmrstandard"/>
        <w:rPr>
          <w:lang w:val="fr-FR"/>
        </w:rPr>
      </w:pPr>
      <w:r w:rsidRPr="004320E4">
        <w:rPr>
          <w:lang w:val="fr-FR"/>
        </w:rPr>
        <w:t xml:space="preserve">L’enquête sur l’agriculture biologique en Europe est réalisée par </w:t>
      </w:r>
      <w:r>
        <w:rPr>
          <w:lang w:val="fr-FR"/>
        </w:rPr>
        <w:t xml:space="preserve">le </w:t>
      </w:r>
      <w:r w:rsidR="00CE5EA1" w:rsidRPr="00860CB4">
        <w:rPr>
          <w:lang w:val="fr-FR"/>
        </w:rPr>
        <w:t xml:space="preserve">FiBL </w:t>
      </w:r>
      <w:r>
        <w:rPr>
          <w:lang w:val="fr-FR"/>
        </w:rPr>
        <w:t>et l’</w:t>
      </w:r>
      <w:r w:rsidR="00CE5EA1" w:rsidRPr="00860CB4">
        <w:rPr>
          <w:lang w:val="fr-FR"/>
        </w:rPr>
        <w:t xml:space="preserve">AMI. </w:t>
      </w:r>
      <w:r w:rsidRPr="009034D2">
        <w:rPr>
          <w:lang w:val="fr-FR"/>
        </w:rPr>
        <w:t xml:space="preserve">La collecte de données par </w:t>
      </w:r>
      <w:r w:rsidR="009034D2" w:rsidRPr="009034D2">
        <w:rPr>
          <w:lang w:val="fr-FR"/>
        </w:rPr>
        <w:t>le</w:t>
      </w:r>
      <w:r w:rsidR="00CE5EA1" w:rsidRPr="009034D2">
        <w:rPr>
          <w:lang w:val="fr-FR"/>
        </w:rPr>
        <w:t xml:space="preserve"> </w:t>
      </w:r>
      <w:r w:rsidR="005909ED" w:rsidRPr="009034D2">
        <w:rPr>
          <w:lang w:val="fr-FR"/>
        </w:rPr>
        <w:t>FiBL</w:t>
      </w:r>
      <w:r w:rsidR="00022073" w:rsidRPr="009034D2">
        <w:rPr>
          <w:lang w:val="fr-FR"/>
        </w:rPr>
        <w:t xml:space="preserve"> </w:t>
      </w:r>
      <w:r w:rsidR="009034D2" w:rsidRPr="009034D2">
        <w:rPr>
          <w:lang w:val="fr-FR"/>
        </w:rPr>
        <w:t>s’effectue dans le cadre de l’</w:t>
      </w:r>
      <w:r w:rsidR="004320E4" w:rsidRPr="009034D2">
        <w:rPr>
          <w:lang w:val="fr-FR"/>
        </w:rPr>
        <w:t>enquête</w:t>
      </w:r>
      <w:r w:rsidR="009034D2" w:rsidRPr="009034D2">
        <w:rPr>
          <w:lang w:val="fr-FR"/>
        </w:rPr>
        <w:t xml:space="preserve"> mondiale sur l’agriculture biologique, s</w:t>
      </w:r>
      <w:r w:rsidR="009034D2">
        <w:rPr>
          <w:lang w:val="fr-FR"/>
        </w:rPr>
        <w:t>outenue par le Secrétariat d’</w:t>
      </w:r>
      <w:r w:rsidR="009034D2" w:rsidRPr="009034D2">
        <w:rPr>
          <w:lang w:val="fr-FR"/>
        </w:rPr>
        <w:t>É</w:t>
      </w:r>
      <w:r w:rsidR="009034D2">
        <w:rPr>
          <w:lang w:val="fr-FR"/>
        </w:rPr>
        <w:t>tat à l’économie (</w:t>
      </w:r>
      <w:r w:rsidR="00CE5EA1" w:rsidRPr="009034D2">
        <w:rPr>
          <w:lang w:val="fr-FR"/>
        </w:rPr>
        <w:t>SECO</w:t>
      </w:r>
      <w:r w:rsidR="009034D2">
        <w:rPr>
          <w:lang w:val="fr-FR"/>
        </w:rPr>
        <w:t>)</w:t>
      </w:r>
      <w:r w:rsidR="00CE5EA1" w:rsidRPr="009034D2">
        <w:rPr>
          <w:lang w:val="fr-FR"/>
        </w:rPr>
        <w:t xml:space="preserve">, </w:t>
      </w:r>
      <w:r w:rsidR="009034D2">
        <w:rPr>
          <w:lang w:val="fr-FR"/>
        </w:rPr>
        <w:t xml:space="preserve">le </w:t>
      </w:r>
      <w:r w:rsidR="009034D2" w:rsidRPr="004320E4">
        <w:rPr>
          <w:lang w:val="fr-FR"/>
        </w:rPr>
        <w:t>Centre du Commerce International (</w:t>
      </w:r>
      <w:r w:rsidR="00CE5EA1" w:rsidRPr="004320E4">
        <w:rPr>
          <w:lang w:val="fr-FR"/>
        </w:rPr>
        <w:t>ITC</w:t>
      </w:r>
      <w:r w:rsidR="009034D2" w:rsidRPr="004320E4">
        <w:rPr>
          <w:lang w:val="fr-FR"/>
        </w:rPr>
        <w:t>)</w:t>
      </w:r>
      <w:r w:rsidR="00CE5EA1" w:rsidRPr="004320E4">
        <w:rPr>
          <w:lang w:val="fr-FR"/>
        </w:rPr>
        <w:t xml:space="preserve">, </w:t>
      </w:r>
      <w:r w:rsidR="00880FB5" w:rsidRPr="004320E4">
        <w:rPr>
          <w:lang w:val="fr-FR"/>
        </w:rPr>
        <w:t xml:space="preserve">le </w:t>
      </w:r>
      <w:r w:rsidR="00BC5FC0" w:rsidRPr="004320E4">
        <w:rPr>
          <w:lang w:val="fr-FR"/>
        </w:rPr>
        <w:t xml:space="preserve">Fonds </w:t>
      </w:r>
      <w:r w:rsidR="00880FB5" w:rsidRPr="004320E4">
        <w:rPr>
          <w:lang w:val="fr-FR"/>
        </w:rPr>
        <w:t>Coop pour le développement durable</w:t>
      </w:r>
      <w:r w:rsidR="00BC5FC0" w:rsidRPr="004320E4">
        <w:rPr>
          <w:lang w:val="fr-FR"/>
        </w:rPr>
        <w:t xml:space="preserve">, </w:t>
      </w:r>
      <w:r w:rsidR="00CE5EA1" w:rsidRPr="004320E4">
        <w:rPr>
          <w:lang w:val="fr-FR"/>
        </w:rPr>
        <w:t xml:space="preserve">NürnbergMesse </w:t>
      </w:r>
      <w:r w:rsidR="00880FB5" w:rsidRPr="004320E4">
        <w:rPr>
          <w:lang w:val="fr-FR"/>
        </w:rPr>
        <w:t>et l’</w:t>
      </w:r>
      <w:r w:rsidR="00CE5EA1" w:rsidRPr="004320E4">
        <w:rPr>
          <w:lang w:val="fr-FR"/>
        </w:rPr>
        <w:t xml:space="preserve">IFOAM </w:t>
      </w:r>
      <w:r w:rsidR="00EA6FCE" w:rsidRPr="004320E4">
        <w:rPr>
          <w:lang w:val="fr-FR"/>
        </w:rPr>
        <w:t>–</w:t>
      </w:r>
      <w:r w:rsidR="00CE5EA1" w:rsidRPr="004320E4">
        <w:rPr>
          <w:lang w:val="fr-FR"/>
        </w:rPr>
        <w:t xml:space="preserve"> Organics</w:t>
      </w:r>
      <w:r w:rsidR="00CE5EA1" w:rsidRPr="009034D2">
        <w:rPr>
          <w:lang w:val="fr-FR"/>
        </w:rPr>
        <w:t xml:space="preserve"> International.</w:t>
      </w:r>
    </w:p>
    <w:p w14:paraId="611FE154" w14:textId="6BBC41E4" w:rsidR="005909ED" w:rsidRPr="00B221D3" w:rsidRDefault="00B37E7F" w:rsidP="00022073">
      <w:pPr>
        <w:pStyle w:val="FiBLmraddinfo"/>
      </w:pPr>
      <w:r>
        <w:t>Plus d’informations</w:t>
      </w:r>
    </w:p>
    <w:p w14:paraId="1F142BDC" w14:textId="1AAAFC13" w:rsidR="005909ED" w:rsidRPr="00B221D3" w:rsidRDefault="00B37E7F" w:rsidP="00022073">
      <w:pPr>
        <w:pStyle w:val="FiBLmrsubheader"/>
      </w:pPr>
      <w:r>
        <w:t>Contacts</w:t>
      </w:r>
    </w:p>
    <w:p w14:paraId="63E35051" w14:textId="17FD05AC" w:rsidR="005909ED" w:rsidRPr="00B221D3" w:rsidRDefault="005909ED" w:rsidP="005909ED">
      <w:pPr>
        <w:pStyle w:val="FiBLmrbulletpoint"/>
      </w:pPr>
      <w:r w:rsidRPr="00B221D3">
        <w:t>Dr Helga Willer, FiBL, Ackerstrasse 113, 5070 Frick, S</w:t>
      </w:r>
      <w:r w:rsidR="00EA6FCE">
        <w:t>uisse</w:t>
      </w:r>
      <w:r w:rsidRPr="00B221D3">
        <w:br/>
        <w:t>T</w:t>
      </w:r>
      <w:r w:rsidR="00503FD2">
        <w:t>é</w:t>
      </w:r>
      <w:r w:rsidRPr="00B221D3">
        <w:t>l</w:t>
      </w:r>
      <w:r w:rsidR="00EA6FCE">
        <w:t>.</w:t>
      </w:r>
      <w:r w:rsidRPr="00B221D3">
        <w:t xml:space="preserve"> +</w:t>
      </w:r>
      <w:r w:rsidRPr="006520EE">
        <w:t>41 (0)79</w:t>
      </w:r>
      <w:r w:rsidRPr="00B221D3">
        <w:t xml:space="preserve"> 218 06 26, </w:t>
      </w:r>
      <w:hyperlink r:id="rId13" w:history="1">
        <w:r w:rsidRPr="00B221D3">
          <w:rPr>
            <w:rStyle w:val="Hyperlink"/>
          </w:rPr>
          <w:t>helga.willer@fibl.org</w:t>
        </w:r>
      </w:hyperlink>
      <w:r w:rsidRPr="00B221D3">
        <w:t xml:space="preserve">, </w:t>
      </w:r>
      <w:hyperlink r:id="rId14" w:history="1">
        <w:r w:rsidRPr="00B221D3">
          <w:rPr>
            <w:rStyle w:val="Hyperlink"/>
          </w:rPr>
          <w:t>www.fibl.org</w:t>
        </w:r>
      </w:hyperlink>
    </w:p>
    <w:p w14:paraId="228D1283" w14:textId="0BA3CF3B" w:rsidR="005909ED" w:rsidRPr="00B221D3" w:rsidRDefault="005909ED" w:rsidP="005909ED">
      <w:pPr>
        <w:pStyle w:val="FiBLmrbulletpoint"/>
      </w:pPr>
      <w:r w:rsidRPr="00B221D3">
        <w:t xml:space="preserve">Diana Schaack, AMI – Agrarmarkt Informations-Gesellschaft mbH, Dreizehnmorgenweg 10, 53175 Bonn, </w:t>
      </w:r>
      <w:r w:rsidR="00DE3617">
        <w:t>Allemagne</w:t>
      </w:r>
      <w:r w:rsidRPr="00B221D3">
        <w:br/>
        <w:t>T</w:t>
      </w:r>
      <w:r w:rsidR="00503FD2">
        <w:t>é</w:t>
      </w:r>
      <w:r w:rsidRPr="00B221D3">
        <w:t>l</w:t>
      </w:r>
      <w:r w:rsidR="00DE3617">
        <w:t>.</w:t>
      </w:r>
      <w:r w:rsidRPr="00B221D3">
        <w:t xml:space="preserve"> +49 228 33805-0, </w:t>
      </w:r>
      <w:hyperlink r:id="rId15" w:history="1">
        <w:r w:rsidRPr="00B221D3">
          <w:rPr>
            <w:rStyle w:val="Hyperlink"/>
          </w:rPr>
          <w:t>diana.schaack@ami-informiert.de</w:t>
        </w:r>
      </w:hyperlink>
      <w:r w:rsidRPr="00B221D3">
        <w:t xml:space="preserve">, </w:t>
      </w:r>
      <w:hyperlink r:id="rId16" w:history="1">
        <w:r w:rsidRPr="00B221D3">
          <w:rPr>
            <w:rStyle w:val="Hyperlink"/>
          </w:rPr>
          <w:t>www.ami-informiert.de</w:t>
        </w:r>
      </w:hyperlink>
    </w:p>
    <w:p w14:paraId="190BF253" w14:textId="7234BF0F" w:rsidR="009B0C59" w:rsidRPr="00D272D2" w:rsidRDefault="00D272D2" w:rsidP="00022073">
      <w:pPr>
        <w:pStyle w:val="FiBLmrsubheader"/>
        <w:rPr>
          <w:lang w:val="fr-FR"/>
        </w:rPr>
      </w:pPr>
      <w:r w:rsidRPr="004320E4">
        <w:rPr>
          <w:lang w:val="fr-FR"/>
        </w:rPr>
        <w:t>Téléchargements, infographies</w:t>
      </w:r>
      <w:r w:rsidR="00022073" w:rsidRPr="004320E4">
        <w:rPr>
          <w:lang w:val="fr-FR"/>
        </w:rPr>
        <w:t xml:space="preserve"> </w:t>
      </w:r>
      <w:r w:rsidRPr="004320E4">
        <w:rPr>
          <w:lang w:val="fr-FR"/>
        </w:rPr>
        <w:t>et</w:t>
      </w:r>
      <w:r w:rsidR="00022073" w:rsidRPr="004320E4">
        <w:rPr>
          <w:lang w:val="fr-FR"/>
        </w:rPr>
        <w:t xml:space="preserve"> </w:t>
      </w:r>
      <w:r w:rsidRPr="00D272D2">
        <w:rPr>
          <w:lang w:val="fr-FR"/>
        </w:rPr>
        <w:t>base d</w:t>
      </w:r>
      <w:r>
        <w:rPr>
          <w:lang w:val="fr-FR"/>
        </w:rPr>
        <w:t>e données en ligne</w:t>
      </w:r>
      <w:r w:rsidR="00D447BA">
        <w:rPr>
          <w:lang w:val="fr-FR"/>
        </w:rPr>
        <w:t xml:space="preserve"> (en anglais)</w:t>
      </w:r>
    </w:p>
    <w:p w14:paraId="7A5C1F9C" w14:textId="56A44972" w:rsidR="009B0C59" w:rsidRPr="006520EE" w:rsidRDefault="00160627" w:rsidP="00A63717">
      <w:pPr>
        <w:pStyle w:val="FiBLmrbulletpoint"/>
        <w:rPr>
          <w:lang w:val="en-GB"/>
        </w:rPr>
      </w:pPr>
      <w:r w:rsidRPr="00801AA6">
        <w:rPr>
          <w:b/>
          <w:lang w:val="en-GB"/>
        </w:rPr>
        <w:t>"</w:t>
      </w:r>
      <w:r w:rsidR="009B0C59" w:rsidRPr="006520EE">
        <w:rPr>
          <w:lang w:val="en-GB"/>
        </w:rPr>
        <w:t xml:space="preserve">The </w:t>
      </w:r>
      <w:r w:rsidR="00404EF3" w:rsidRPr="006520EE">
        <w:rPr>
          <w:lang w:val="en-GB"/>
        </w:rPr>
        <w:t>World of Organic Agriculture 2020</w:t>
      </w:r>
      <w:r w:rsidRPr="00801AA6">
        <w:rPr>
          <w:b/>
          <w:lang w:val="en-GB"/>
        </w:rPr>
        <w:t>"</w:t>
      </w:r>
      <w:r w:rsidR="00022073" w:rsidRPr="006520EE">
        <w:rPr>
          <w:lang w:val="en-GB"/>
        </w:rPr>
        <w:t xml:space="preserve"> (</w:t>
      </w:r>
      <w:r w:rsidR="00D272D2" w:rsidRPr="006520EE">
        <w:rPr>
          <w:lang w:val="en-GB"/>
        </w:rPr>
        <w:t>téléchargement</w:t>
      </w:r>
      <w:r w:rsidR="00022073" w:rsidRPr="006520EE">
        <w:rPr>
          <w:lang w:val="en-GB"/>
        </w:rPr>
        <w:t xml:space="preserve">, </w:t>
      </w:r>
      <w:r w:rsidR="00D272D2" w:rsidRPr="006520EE">
        <w:rPr>
          <w:lang w:val="en-GB"/>
        </w:rPr>
        <w:t>graph</w:t>
      </w:r>
      <w:r w:rsidR="00174B82" w:rsidRPr="006520EE">
        <w:rPr>
          <w:lang w:val="en-GB"/>
        </w:rPr>
        <w:t>iqu</w:t>
      </w:r>
      <w:r w:rsidR="00D272D2" w:rsidRPr="006520EE">
        <w:rPr>
          <w:lang w:val="en-GB"/>
        </w:rPr>
        <w:t>es</w:t>
      </w:r>
      <w:r w:rsidR="002A7906">
        <w:rPr>
          <w:lang w:val="en-GB"/>
        </w:rPr>
        <w:t>)</w:t>
      </w:r>
      <w:r w:rsidR="002A7906">
        <w:rPr>
          <w:lang w:val="en-GB"/>
        </w:rPr>
        <w:br/>
      </w:r>
      <w:r w:rsidR="00A63717" w:rsidRPr="00D447BA">
        <w:rPr>
          <w:rStyle w:val="Hyperlink"/>
          <w:lang w:val="en-GB"/>
        </w:rPr>
        <w:t>www.organic-</w:t>
      </w:r>
      <w:r w:rsidR="00404EF3" w:rsidRPr="00D447BA">
        <w:rPr>
          <w:rStyle w:val="Hyperlink"/>
          <w:lang w:val="en-GB"/>
        </w:rPr>
        <w:t>world.net/yearbook/yearbook-2020</w:t>
      </w:r>
      <w:r w:rsidR="00A63717" w:rsidRPr="00D447BA">
        <w:rPr>
          <w:rStyle w:val="Hyperlink"/>
          <w:lang w:val="en-GB"/>
        </w:rPr>
        <w:t>.html</w:t>
      </w:r>
    </w:p>
    <w:p w14:paraId="3B358C1F" w14:textId="4FD79EBB" w:rsidR="009B0C59" w:rsidRPr="00801AA6" w:rsidRDefault="00291FFE" w:rsidP="00291FFE">
      <w:pPr>
        <w:pStyle w:val="FiBLmrbulletpoint"/>
        <w:rPr>
          <w:lang w:val="en-GB"/>
        </w:rPr>
      </w:pPr>
      <w:r w:rsidRPr="00801AA6">
        <w:rPr>
          <w:lang w:val="en-GB"/>
        </w:rPr>
        <w:t>Infogra</w:t>
      </w:r>
      <w:r w:rsidR="00932890" w:rsidRPr="00801AA6">
        <w:rPr>
          <w:lang w:val="en-GB"/>
        </w:rPr>
        <w:t>phies</w:t>
      </w:r>
      <w:r w:rsidR="002A7906" w:rsidRPr="00801AA6">
        <w:rPr>
          <w:lang w:val="en-GB"/>
        </w:rPr>
        <w:br/>
      </w:r>
      <w:hyperlink r:id="rId17" w:history="1">
        <w:r w:rsidR="002A7906" w:rsidRPr="00801AA6">
          <w:rPr>
            <w:rStyle w:val="Hyperlink"/>
            <w:lang w:val="en-GB"/>
          </w:rPr>
          <w:t>http://www.organic-world.net/yearbook/yearbook-2020/infographics.html</w:t>
        </w:r>
      </w:hyperlink>
    </w:p>
    <w:p w14:paraId="104D6332" w14:textId="00DCAAE0" w:rsidR="009B0C59" w:rsidRPr="001832F2" w:rsidRDefault="001832F2" w:rsidP="00291FFE">
      <w:pPr>
        <w:pStyle w:val="FiBLmrbulletpoint"/>
        <w:rPr>
          <w:lang w:val="fr-FR"/>
        </w:rPr>
      </w:pPr>
      <w:r w:rsidRPr="001832F2">
        <w:rPr>
          <w:lang w:val="fr-FR"/>
        </w:rPr>
        <w:t xml:space="preserve">Statistiques du </w:t>
      </w:r>
      <w:r w:rsidR="00291FFE" w:rsidRPr="001832F2">
        <w:rPr>
          <w:lang w:val="fr-FR"/>
        </w:rPr>
        <w:t>FiBL</w:t>
      </w:r>
      <w:r w:rsidRPr="001832F2">
        <w:rPr>
          <w:lang w:val="fr-FR"/>
        </w:rPr>
        <w:t xml:space="preserve"> sur l’agriculture biologique dans le </w:t>
      </w:r>
      <w:r w:rsidRPr="006520EE">
        <w:rPr>
          <w:lang w:val="fr-FR"/>
        </w:rPr>
        <w:t>monde</w:t>
      </w:r>
      <w:r w:rsidR="00E256CD" w:rsidRPr="006520EE">
        <w:rPr>
          <w:lang w:val="fr-FR"/>
        </w:rPr>
        <w:t xml:space="preserve"> </w:t>
      </w:r>
      <w:r w:rsidR="002A7906">
        <w:rPr>
          <w:lang w:val="fr-FR"/>
        </w:rPr>
        <w:br/>
      </w:r>
      <w:hyperlink r:id="rId18" w:history="1">
        <w:r w:rsidR="00ED45AF" w:rsidRPr="00ED45AF">
          <w:rPr>
            <w:rStyle w:val="Hyperlink"/>
            <w:lang w:val="fr-FR"/>
          </w:rPr>
          <w:t>https://statistics.fibl.org</w:t>
        </w:r>
      </w:hyperlink>
    </w:p>
    <w:p w14:paraId="03E33827" w14:textId="731E3398" w:rsidR="0010418E" w:rsidRPr="00B221D3" w:rsidRDefault="0010418E" w:rsidP="00022073">
      <w:pPr>
        <w:pStyle w:val="FiBLmrsubheader"/>
      </w:pPr>
      <w:r w:rsidRPr="00B221D3">
        <w:t>Li</w:t>
      </w:r>
      <w:r w:rsidR="00E256CD">
        <w:t>ens</w:t>
      </w:r>
    </w:p>
    <w:p w14:paraId="3EEDF27B" w14:textId="281078D8" w:rsidR="0010418E" w:rsidRPr="00AF68F0" w:rsidRDefault="0010418E" w:rsidP="00BC5FC0">
      <w:pPr>
        <w:pStyle w:val="FiBLmrbulletpoint"/>
        <w:rPr>
          <w:lang w:val="fr-FR"/>
        </w:rPr>
      </w:pPr>
      <w:r w:rsidRPr="00AF68F0">
        <w:rPr>
          <w:lang w:val="fr-FR"/>
        </w:rPr>
        <w:t xml:space="preserve">fibl.org: </w:t>
      </w:r>
      <w:r w:rsidR="00E256CD" w:rsidRPr="00AF68F0">
        <w:rPr>
          <w:lang w:val="fr-FR"/>
        </w:rPr>
        <w:t xml:space="preserve">site </w:t>
      </w:r>
      <w:r w:rsidR="008E1B8D" w:rsidRPr="00AF68F0">
        <w:rPr>
          <w:lang w:val="fr-FR"/>
        </w:rPr>
        <w:t>web</w:t>
      </w:r>
      <w:r w:rsidR="00E256CD" w:rsidRPr="00AF68F0">
        <w:rPr>
          <w:lang w:val="fr-FR"/>
        </w:rPr>
        <w:t xml:space="preserve"> de l’Institut de recherche de l’agriculture biologique </w:t>
      </w:r>
      <w:r w:rsidR="00BF01F2">
        <w:rPr>
          <w:lang w:val="fr-FR"/>
        </w:rPr>
        <w:t>(</w:t>
      </w:r>
      <w:r w:rsidR="00C92DC4" w:rsidRPr="00AF68F0">
        <w:rPr>
          <w:lang w:val="fr-FR"/>
        </w:rPr>
        <w:t>FiBL</w:t>
      </w:r>
      <w:r w:rsidR="00BF01F2">
        <w:rPr>
          <w:lang w:val="fr-FR"/>
        </w:rPr>
        <w:t>)</w:t>
      </w:r>
    </w:p>
    <w:p w14:paraId="497C2902" w14:textId="12E4974C" w:rsidR="0010418E" w:rsidRPr="00AF68F0" w:rsidRDefault="0010418E" w:rsidP="00291FFE">
      <w:pPr>
        <w:pStyle w:val="FiBLmrbulletpoint"/>
      </w:pPr>
      <w:r w:rsidRPr="00AF68F0">
        <w:t xml:space="preserve">ami-informiert.de: </w:t>
      </w:r>
      <w:r w:rsidR="00E256CD" w:rsidRPr="00AF68F0">
        <w:t>site</w:t>
      </w:r>
      <w:r w:rsidR="008E1B8D" w:rsidRPr="00AF68F0">
        <w:t xml:space="preserve"> web</w:t>
      </w:r>
      <w:r w:rsidR="00E256CD" w:rsidRPr="00AF68F0">
        <w:t xml:space="preserve"> de l’</w:t>
      </w:r>
      <w:r w:rsidR="00A63717" w:rsidRPr="00AF68F0">
        <w:t xml:space="preserve">AMI </w:t>
      </w:r>
      <w:r w:rsidR="00AF68F0">
        <w:t>—</w:t>
      </w:r>
      <w:r w:rsidR="00A63717" w:rsidRPr="00AF68F0">
        <w:t xml:space="preserve"> </w:t>
      </w:r>
      <w:r w:rsidR="00291FFE" w:rsidRPr="00AF68F0">
        <w:t>Agrarmarkt Inf</w:t>
      </w:r>
      <w:r w:rsidR="00A63717" w:rsidRPr="00AF68F0">
        <w:t>ormations-Gesellschaft mbH</w:t>
      </w:r>
    </w:p>
    <w:p w14:paraId="3B3E00C7" w14:textId="1FC32113" w:rsidR="0010418E" w:rsidRPr="00A04B53" w:rsidRDefault="0010418E" w:rsidP="00291FFE">
      <w:pPr>
        <w:pStyle w:val="FiBLmrbulletpoint"/>
        <w:rPr>
          <w:lang w:val="de-DE"/>
        </w:rPr>
      </w:pPr>
      <w:r w:rsidRPr="00A04B53">
        <w:rPr>
          <w:lang w:val="de-DE"/>
        </w:rPr>
        <w:t xml:space="preserve">biofach.de: </w:t>
      </w:r>
      <w:r w:rsidR="00E256CD" w:rsidRPr="00A04B53">
        <w:rPr>
          <w:lang w:val="de-DE"/>
        </w:rPr>
        <w:t xml:space="preserve">site </w:t>
      </w:r>
      <w:r w:rsidR="008E1B8D" w:rsidRPr="00A04B53">
        <w:rPr>
          <w:lang w:val="de-DE"/>
        </w:rPr>
        <w:t>web</w:t>
      </w:r>
      <w:r w:rsidR="00E256CD" w:rsidRPr="00A04B53">
        <w:rPr>
          <w:lang w:val="de-DE"/>
        </w:rPr>
        <w:t xml:space="preserve"> d</w:t>
      </w:r>
      <w:r w:rsidR="00F519E9">
        <w:rPr>
          <w:lang w:val="de-DE"/>
        </w:rPr>
        <w:t>u salon</w:t>
      </w:r>
      <w:r w:rsidR="00291FFE" w:rsidRPr="00A04B53">
        <w:rPr>
          <w:lang w:val="de-DE"/>
        </w:rPr>
        <w:t xml:space="preserve"> BIOFACH</w:t>
      </w:r>
    </w:p>
    <w:p w14:paraId="54B09DF8" w14:textId="2A195A4A" w:rsidR="005909ED" w:rsidRPr="00693F94" w:rsidRDefault="00AA1040" w:rsidP="005909ED">
      <w:pPr>
        <w:pStyle w:val="FiBLmrsubheader"/>
        <w:rPr>
          <w:lang w:val="fr-FR"/>
        </w:rPr>
      </w:pPr>
      <w:r w:rsidRPr="00160627">
        <w:rPr>
          <w:lang w:val="fr-FR"/>
        </w:rPr>
        <w:t xml:space="preserve">Le bio en </w:t>
      </w:r>
      <w:r w:rsidRPr="00693F94">
        <w:rPr>
          <w:lang w:val="fr-FR"/>
        </w:rPr>
        <w:t xml:space="preserve">Europe </w:t>
      </w:r>
      <w:r w:rsidR="00A04B53" w:rsidRPr="00693F94">
        <w:rPr>
          <w:lang w:val="fr-FR"/>
        </w:rPr>
        <w:t>au salon</w:t>
      </w:r>
      <w:r w:rsidR="005909ED" w:rsidRPr="00693F94">
        <w:rPr>
          <w:lang w:val="fr-FR"/>
        </w:rPr>
        <w:t xml:space="preserve"> BIOFACH</w:t>
      </w:r>
    </w:p>
    <w:p w14:paraId="16A91E78" w14:textId="4670542B" w:rsidR="005909ED" w:rsidRPr="004F01AB" w:rsidRDefault="00160627" w:rsidP="005909ED">
      <w:pPr>
        <w:pStyle w:val="FiBLmrbulletpoint"/>
        <w:rPr>
          <w:lang w:val="fr-FR"/>
        </w:rPr>
      </w:pPr>
      <w:r w:rsidRPr="00693F94">
        <w:rPr>
          <w:lang w:val="fr-FR"/>
        </w:rPr>
        <w:t>L’annuaire</w:t>
      </w:r>
      <w:r w:rsidR="005909ED" w:rsidRPr="00693F94">
        <w:rPr>
          <w:lang w:val="fr-FR"/>
        </w:rPr>
        <w:t xml:space="preserve"> </w:t>
      </w:r>
      <w:r w:rsidR="005909ED" w:rsidRPr="00693F94">
        <w:rPr>
          <w:b/>
          <w:lang w:val="fr-FR"/>
        </w:rPr>
        <w:t>"The World of Organic Agriculture"</w:t>
      </w:r>
      <w:r w:rsidR="005909ED" w:rsidRPr="00693F94">
        <w:rPr>
          <w:lang w:val="fr-FR"/>
        </w:rPr>
        <w:t xml:space="preserve"> </w:t>
      </w:r>
      <w:r w:rsidR="00D15A3B" w:rsidRPr="00693F94">
        <w:rPr>
          <w:lang w:val="fr-FR"/>
        </w:rPr>
        <w:t xml:space="preserve">peut </w:t>
      </w:r>
      <w:r w:rsidR="003F25F6" w:rsidRPr="00693F94">
        <w:rPr>
          <w:lang w:val="fr-FR"/>
        </w:rPr>
        <w:t>être</w:t>
      </w:r>
      <w:r w:rsidR="00D15A3B" w:rsidRPr="00693F94">
        <w:rPr>
          <w:lang w:val="fr-FR"/>
        </w:rPr>
        <w:t xml:space="preserve"> obtenu </w:t>
      </w:r>
      <w:r w:rsidR="006D7225">
        <w:rPr>
          <w:lang w:val="fr-FR"/>
        </w:rPr>
        <w:t>au salon</w:t>
      </w:r>
      <w:r w:rsidR="00D15A3B" w:rsidRPr="00693F94">
        <w:rPr>
          <w:lang w:val="fr-FR"/>
        </w:rPr>
        <w:t xml:space="preserve"> </w:t>
      </w:r>
      <w:r w:rsidR="005909ED" w:rsidRPr="00693F94">
        <w:rPr>
          <w:lang w:val="fr-FR"/>
        </w:rPr>
        <w:t>BIOFACH</w:t>
      </w:r>
      <w:r w:rsidR="006D7225">
        <w:rPr>
          <w:lang w:val="fr-FR"/>
        </w:rPr>
        <w:t>, sur le</w:t>
      </w:r>
      <w:r w:rsidR="00D15A3B" w:rsidRPr="00693F94">
        <w:rPr>
          <w:lang w:val="fr-FR"/>
        </w:rPr>
        <w:t xml:space="preserve"> stand du </w:t>
      </w:r>
      <w:r w:rsidR="005909ED" w:rsidRPr="00693F94">
        <w:rPr>
          <w:lang w:val="fr-FR"/>
        </w:rPr>
        <w:t>FiBL</w:t>
      </w:r>
      <w:r w:rsidR="006D7225">
        <w:rPr>
          <w:lang w:val="fr-FR"/>
        </w:rPr>
        <w:t>,</w:t>
      </w:r>
      <w:r w:rsidR="00D15A3B" w:rsidRPr="00693F94">
        <w:rPr>
          <w:lang w:val="fr-FR"/>
        </w:rPr>
        <w:t xml:space="preserve"> h</w:t>
      </w:r>
      <w:r w:rsidR="005909ED" w:rsidRPr="00693F94">
        <w:rPr>
          <w:lang w:val="fr-FR"/>
        </w:rPr>
        <w:t>all</w:t>
      </w:r>
      <w:r w:rsidR="006D7225">
        <w:rPr>
          <w:lang w:val="fr-FR"/>
        </w:rPr>
        <w:t>e</w:t>
      </w:r>
      <w:r w:rsidR="00D15A3B" w:rsidRPr="00693F94">
        <w:rPr>
          <w:lang w:val="fr-FR"/>
        </w:rPr>
        <w:t> </w:t>
      </w:r>
      <w:r w:rsidR="005909ED" w:rsidRPr="00693F94">
        <w:rPr>
          <w:lang w:val="fr-FR"/>
        </w:rPr>
        <w:t>1 (</w:t>
      </w:r>
      <w:r w:rsidR="00D15A3B" w:rsidRPr="00693F94">
        <w:rPr>
          <w:lang w:val="fr-FR"/>
        </w:rPr>
        <w:t>s</w:t>
      </w:r>
      <w:r w:rsidR="005909ED" w:rsidRPr="00693F94">
        <w:rPr>
          <w:lang w:val="fr-FR"/>
        </w:rPr>
        <w:t>tand</w:t>
      </w:r>
      <w:r w:rsidR="006D7225">
        <w:rPr>
          <w:lang w:val="fr-FR"/>
        </w:rPr>
        <w:t xml:space="preserve"> n</w:t>
      </w:r>
      <w:r w:rsidR="006D7225" w:rsidRPr="006D7225">
        <w:rPr>
          <w:vertAlign w:val="superscript"/>
          <w:lang w:val="fr-FR"/>
        </w:rPr>
        <w:t>o</w:t>
      </w:r>
      <w:r w:rsidR="00D15A3B" w:rsidRPr="00693F94">
        <w:rPr>
          <w:lang w:val="fr-FR"/>
        </w:rPr>
        <w:t> </w:t>
      </w:r>
      <w:r w:rsidR="005909ED" w:rsidRPr="00693F94">
        <w:rPr>
          <w:lang w:val="fr-FR"/>
        </w:rPr>
        <w:t xml:space="preserve">553). </w:t>
      </w:r>
      <w:r w:rsidR="00514627" w:rsidRPr="00693F94">
        <w:rPr>
          <w:lang w:val="fr-FR"/>
        </w:rPr>
        <w:t>Le livre</w:t>
      </w:r>
      <w:r w:rsidR="005909ED" w:rsidRPr="00693F94">
        <w:rPr>
          <w:lang w:val="fr-FR"/>
        </w:rPr>
        <w:t xml:space="preserve"> </w:t>
      </w:r>
      <w:r w:rsidR="000C42A8">
        <w:rPr>
          <w:lang w:val="fr-FR"/>
        </w:rPr>
        <w:t xml:space="preserve">(en anglais) </w:t>
      </w:r>
      <w:r w:rsidR="00514627" w:rsidRPr="00693F94">
        <w:rPr>
          <w:lang w:val="fr-FR"/>
        </w:rPr>
        <w:t>contient un</w:t>
      </w:r>
      <w:r w:rsidR="004F01AB" w:rsidRPr="00693F94">
        <w:rPr>
          <w:lang w:val="fr-FR"/>
        </w:rPr>
        <w:t xml:space="preserve"> chapitre détaillé sur l</w:t>
      </w:r>
      <w:r w:rsidR="00521C98">
        <w:rPr>
          <w:lang w:val="fr-FR"/>
        </w:rPr>
        <w:t>’agriculture biologique</w:t>
      </w:r>
      <w:r w:rsidR="005909ED" w:rsidRPr="00693F94">
        <w:rPr>
          <w:lang w:val="fr-FR"/>
        </w:rPr>
        <w:t xml:space="preserve"> </w:t>
      </w:r>
      <w:r w:rsidR="004F01AB" w:rsidRPr="00693F94">
        <w:rPr>
          <w:lang w:val="fr-FR"/>
        </w:rPr>
        <w:t>e</w:t>
      </w:r>
      <w:r w:rsidR="005909ED" w:rsidRPr="00693F94">
        <w:rPr>
          <w:lang w:val="fr-FR"/>
        </w:rPr>
        <w:t>n Europ</w:t>
      </w:r>
      <w:r w:rsidR="004F01AB" w:rsidRPr="00693F94">
        <w:rPr>
          <w:lang w:val="fr-FR"/>
        </w:rPr>
        <w:t xml:space="preserve">e, </w:t>
      </w:r>
      <w:r w:rsidR="006D7225">
        <w:rPr>
          <w:lang w:val="fr-FR"/>
        </w:rPr>
        <w:t>ainsi que</w:t>
      </w:r>
      <w:r w:rsidR="004F01AB" w:rsidRPr="00693F94">
        <w:rPr>
          <w:lang w:val="fr-FR"/>
        </w:rPr>
        <w:t xml:space="preserve"> de nombreux tableaux</w:t>
      </w:r>
      <w:r w:rsidR="004F01AB">
        <w:rPr>
          <w:lang w:val="fr-FR"/>
        </w:rPr>
        <w:t xml:space="preserve"> et graph</w:t>
      </w:r>
      <w:r w:rsidR="00A103FB">
        <w:rPr>
          <w:lang w:val="fr-FR"/>
        </w:rPr>
        <w:t>iqu</w:t>
      </w:r>
      <w:r w:rsidR="004F01AB">
        <w:rPr>
          <w:lang w:val="fr-FR"/>
        </w:rPr>
        <w:t>es.</w:t>
      </w:r>
    </w:p>
    <w:p w14:paraId="0CC9F1F2" w14:textId="3F0A7E55" w:rsidR="00313532" w:rsidRPr="00D0775C" w:rsidRDefault="00647922" w:rsidP="00D0775C">
      <w:pPr>
        <w:pStyle w:val="FiBLmrbulletpoint"/>
        <w:rPr>
          <w:lang w:val="fr-FR"/>
        </w:rPr>
      </w:pPr>
      <w:r>
        <w:rPr>
          <w:lang w:val="fr-FR"/>
        </w:rPr>
        <w:t xml:space="preserve">La </w:t>
      </w:r>
      <w:r w:rsidRPr="00A103FB">
        <w:rPr>
          <w:lang w:val="fr-FR"/>
        </w:rPr>
        <w:t>conférence</w:t>
      </w:r>
      <w:r w:rsidR="005909ED" w:rsidRPr="00A103FB">
        <w:rPr>
          <w:lang w:val="fr-FR"/>
        </w:rPr>
        <w:t xml:space="preserve"> </w:t>
      </w:r>
      <w:r w:rsidR="00FE2013" w:rsidRPr="00A103FB">
        <w:rPr>
          <w:lang w:val="fr-FR"/>
        </w:rPr>
        <w:t xml:space="preserve">sur le marché bio européen </w:t>
      </w:r>
      <w:r w:rsidR="004731CA">
        <w:rPr>
          <w:lang w:val="fr-FR"/>
        </w:rPr>
        <w:t>au salon</w:t>
      </w:r>
      <w:r w:rsidR="00F1030B" w:rsidRPr="00A103FB">
        <w:rPr>
          <w:lang w:val="fr-FR"/>
        </w:rPr>
        <w:t xml:space="preserve"> </w:t>
      </w:r>
      <w:r w:rsidR="00022073" w:rsidRPr="00A103FB">
        <w:rPr>
          <w:lang w:val="fr-FR"/>
        </w:rPr>
        <w:t>BIOFACH</w:t>
      </w:r>
      <w:r w:rsidR="005909ED" w:rsidRPr="00A103FB">
        <w:rPr>
          <w:lang w:val="fr-FR"/>
        </w:rPr>
        <w:t xml:space="preserve"> </w:t>
      </w:r>
      <w:r w:rsidR="006D7225">
        <w:rPr>
          <w:lang w:val="fr-FR"/>
        </w:rPr>
        <w:t>se tiendra</w:t>
      </w:r>
      <w:r w:rsidR="00FE2013" w:rsidRPr="00A103FB">
        <w:rPr>
          <w:lang w:val="fr-FR"/>
        </w:rPr>
        <w:t xml:space="preserve"> le </w:t>
      </w:r>
      <w:r w:rsidR="005909ED" w:rsidRPr="00A103FB">
        <w:rPr>
          <w:b/>
          <w:lang w:val="fr-FR"/>
        </w:rPr>
        <w:t>1</w:t>
      </w:r>
      <w:r w:rsidR="00FE2013" w:rsidRPr="00A103FB">
        <w:rPr>
          <w:b/>
          <w:lang w:val="fr-FR"/>
        </w:rPr>
        <w:t>2</w:t>
      </w:r>
      <w:r w:rsidR="001A0C00" w:rsidRPr="00A103FB">
        <w:rPr>
          <w:b/>
          <w:lang w:val="fr-FR"/>
        </w:rPr>
        <w:t> février </w:t>
      </w:r>
      <w:r w:rsidR="00B221D3" w:rsidRPr="00A103FB">
        <w:rPr>
          <w:b/>
          <w:lang w:val="fr-FR"/>
        </w:rPr>
        <w:t xml:space="preserve">2020 </w:t>
      </w:r>
      <w:r w:rsidR="007E6D27" w:rsidRPr="00A103FB">
        <w:rPr>
          <w:b/>
          <w:lang w:val="fr-FR"/>
        </w:rPr>
        <w:t>de</w:t>
      </w:r>
      <w:r w:rsidR="00B221D3" w:rsidRPr="00A103FB">
        <w:rPr>
          <w:b/>
          <w:lang w:val="fr-FR"/>
        </w:rPr>
        <w:t xml:space="preserve"> 16</w:t>
      </w:r>
      <w:r w:rsidR="007E6D27" w:rsidRPr="00A103FB">
        <w:rPr>
          <w:b/>
          <w:lang w:val="fr-FR"/>
        </w:rPr>
        <w:t>h</w:t>
      </w:r>
      <w:r w:rsidR="00B221D3" w:rsidRPr="00A103FB">
        <w:rPr>
          <w:b/>
          <w:lang w:val="fr-FR"/>
        </w:rPr>
        <w:t xml:space="preserve">00 </w:t>
      </w:r>
      <w:r w:rsidR="007E6D27" w:rsidRPr="00A103FB">
        <w:rPr>
          <w:b/>
          <w:lang w:val="fr-FR"/>
        </w:rPr>
        <w:t>à</w:t>
      </w:r>
      <w:r w:rsidR="00B221D3" w:rsidRPr="00A103FB">
        <w:rPr>
          <w:b/>
          <w:lang w:val="fr-FR"/>
        </w:rPr>
        <w:t xml:space="preserve"> 16</w:t>
      </w:r>
      <w:r w:rsidR="007E6D27" w:rsidRPr="00A103FB">
        <w:rPr>
          <w:b/>
          <w:lang w:val="fr-FR"/>
        </w:rPr>
        <w:t>h</w:t>
      </w:r>
      <w:r w:rsidR="005909ED" w:rsidRPr="00A103FB">
        <w:rPr>
          <w:b/>
          <w:lang w:val="fr-FR"/>
        </w:rPr>
        <w:t xml:space="preserve">45 </w:t>
      </w:r>
      <w:r w:rsidR="006D7225">
        <w:rPr>
          <w:b/>
          <w:lang w:val="fr-FR"/>
        </w:rPr>
        <w:t>dans la</w:t>
      </w:r>
      <w:r w:rsidR="007E6D27" w:rsidRPr="00A103FB">
        <w:rPr>
          <w:b/>
          <w:lang w:val="fr-FR"/>
        </w:rPr>
        <w:t xml:space="preserve"> salle</w:t>
      </w:r>
      <w:r w:rsidR="00A80F3A" w:rsidRPr="00A103FB">
        <w:rPr>
          <w:b/>
          <w:lang w:val="fr-FR"/>
        </w:rPr>
        <w:t xml:space="preserve"> </w:t>
      </w:r>
      <w:r w:rsidR="007C03B3" w:rsidRPr="00A103FB">
        <w:rPr>
          <w:b/>
          <w:lang w:val="fr-FR"/>
        </w:rPr>
        <w:t>Shanghai,</w:t>
      </w:r>
      <w:r w:rsidR="00022073" w:rsidRPr="00A103FB">
        <w:rPr>
          <w:lang w:val="fr-FR"/>
        </w:rPr>
        <w:t xml:space="preserve"> Messezentrum</w:t>
      </w:r>
      <w:r w:rsidR="00022073" w:rsidRPr="007E6D27">
        <w:rPr>
          <w:lang w:val="fr-FR"/>
        </w:rPr>
        <w:t xml:space="preserve"> Nürnberg</w:t>
      </w:r>
      <w:r w:rsidR="005909ED" w:rsidRPr="007E6D27">
        <w:rPr>
          <w:lang w:val="fr-FR"/>
        </w:rPr>
        <w:t xml:space="preserve"> (</w:t>
      </w:r>
      <w:r w:rsidR="007E6D27">
        <w:rPr>
          <w:lang w:val="fr-FR"/>
        </w:rPr>
        <w:t>voir le programme ci-dessous</w:t>
      </w:r>
      <w:r w:rsidR="005909ED" w:rsidRPr="007E6D27">
        <w:rPr>
          <w:lang w:val="fr-FR"/>
        </w:rPr>
        <w:t xml:space="preserve">). </w:t>
      </w:r>
    </w:p>
    <w:p w14:paraId="30F3C309" w14:textId="4C649131" w:rsidR="00646E4A" w:rsidRPr="00C35583" w:rsidRDefault="00C35583" w:rsidP="008A3482">
      <w:pPr>
        <w:pStyle w:val="FiBLmraddinfo"/>
        <w:rPr>
          <w:lang w:val="fr-FR"/>
        </w:rPr>
      </w:pPr>
      <w:r w:rsidRPr="000031BB">
        <w:rPr>
          <w:lang w:val="fr-FR"/>
        </w:rPr>
        <w:lastRenderedPageBreak/>
        <w:t>Conférence sur le marché bio européen</w:t>
      </w:r>
      <w:r w:rsidR="008A3482" w:rsidRPr="000031BB">
        <w:rPr>
          <w:lang w:val="fr-FR"/>
        </w:rPr>
        <w:t xml:space="preserve"> </w:t>
      </w:r>
      <w:r w:rsidR="004320E4" w:rsidRPr="000031BB">
        <w:rPr>
          <w:lang w:val="fr-FR"/>
        </w:rPr>
        <w:t>au salon</w:t>
      </w:r>
      <w:r w:rsidR="008A3482" w:rsidRPr="000031BB">
        <w:rPr>
          <w:lang w:val="fr-FR"/>
        </w:rPr>
        <w:t xml:space="preserve"> BIOFACH</w:t>
      </w:r>
      <w:r w:rsidR="00C92DC4" w:rsidRPr="000031BB">
        <w:rPr>
          <w:lang w:val="fr-FR"/>
        </w:rPr>
        <w:t xml:space="preserve"> </w:t>
      </w:r>
      <w:r w:rsidR="00B221D3" w:rsidRPr="000031BB">
        <w:rPr>
          <w:lang w:val="fr-FR"/>
        </w:rPr>
        <w:t>2020</w:t>
      </w:r>
      <w:r w:rsidR="008A3482" w:rsidRPr="000031BB">
        <w:rPr>
          <w:lang w:val="fr-FR"/>
        </w:rPr>
        <w:br/>
        <w:t>(</w:t>
      </w:r>
      <w:r w:rsidR="00647922" w:rsidRPr="000031BB">
        <w:rPr>
          <w:lang w:val="fr-FR"/>
        </w:rPr>
        <w:t>"</w:t>
      </w:r>
      <w:r w:rsidR="008A3482" w:rsidRPr="000031BB">
        <w:rPr>
          <w:lang w:val="fr-FR"/>
        </w:rPr>
        <w:t>The European market for organic food</w:t>
      </w:r>
      <w:r w:rsidR="00647922" w:rsidRPr="000031BB">
        <w:rPr>
          <w:lang w:val="fr-FR"/>
        </w:rPr>
        <w:t>"</w:t>
      </w:r>
      <w:r w:rsidR="008A3482" w:rsidRPr="000031BB">
        <w:rPr>
          <w:lang w:val="fr-FR"/>
        </w:rPr>
        <w:t>)</w:t>
      </w:r>
    </w:p>
    <w:p w14:paraId="6F26F9CC" w14:textId="3525F8F9" w:rsidR="00DB6EFB" w:rsidRPr="00DB6EFB" w:rsidRDefault="00304682" w:rsidP="00646E4A">
      <w:pPr>
        <w:pStyle w:val="FiBLmrstandard"/>
        <w:rPr>
          <w:lang w:val="fr-FR"/>
        </w:rPr>
      </w:pPr>
      <w:r w:rsidRPr="00DB6EFB">
        <w:rPr>
          <w:lang w:val="fr-FR"/>
        </w:rPr>
        <w:t>M</w:t>
      </w:r>
      <w:r w:rsidR="004106A4" w:rsidRPr="00DB6EFB">
        <w:rPr>
          <w:lang w:val="fr-FR"/>
        </w:rPr>
        <w:t xml:space="preserve">ercredi </w:t>
      </w:r>
      <w:r w:rsidR="00B221D3" w:rsidRPr="00DB6EFB">
        <w:rPr>
          <w:lang w:val="fr-FR"/>
        </w:rPr>
        <w:t>12</w:t>
      </w:r>
      <w:r w:rsidR="004106A4" w:rsidRPr="00DB6EFB">
        <w:rPr>
          <w:lang w:val="fr-FR"/>
        </w:rPr>
        <w:t> février </w:t>
      </w:r>
      <w:r w:rsidR="00B221D3" w:rsidRPr="00DB6EFB">
        <w:rPr>
          <w:lang w:val="fr-FR"/>
        </w:rPr>
        <w:t xml:space="preserve">2020, </w:t>
      </w:r>
      <w:r w:rsidR="004106A4" w:rsidRPr="00DB6EFB">
        <w:rPr>
          <w:lang w:val="fr-FR"/>
        </w:rPr>
        <w:t xml:space="preserve">de </w:t>
      </w:r>
      <w:r w:rsidR="00B221D3" w:rsidRPr="00DB6EFB">
        <w:rPr>
          <w:lang w:val="fr-FR"/>
        </w:rPr>
        <w:t>16</w:t>
      </w:r>
      <w:r w:rsidR="004106A4" w:rsidRPr="00DB6EFB">
        <w:rPr>
          <w:lang w:val="fr-FR"/>
        </w:rPr>
        <w:t>h</w:t>
      </w:r>
      <w:r w:rsidR="00B221D3" w:rsidRPr="00DB6EFB">
        <w:rPr>
          <w:lang w:val="fr-FR"/>
        </w:rPr>
        <w:t>00</w:t>
      </w:r>
      <w:r w:rsidR="004106A4" w:rsidRPr="00DB6EFB">
        <w:rPr>
          <w:lang w:val="fr-FR"/>
        </w:rPr>
        <w:t xml:space="preserve"> à </w:t>
      </w:r>
      <w:r w:rsidR="00B221D3" w:rsidRPr="00DB6EFB">
        <w:rPr>
          <w:lang w:val="fr-FR"/>
        </w:rPr>
        <w:t>16</w:t>
      </w:r>
      <w:r w:rsidR="004106A4" w:rsidRPr="00DB6EFB">
        <w:rPr>
          <w:lang w:val="fr-FR"/>
        </w:rPr>
        <w:t>h</w:t>
      </w:r>
      <w:r w:rsidR="00E71BBC" w:rsidRPr="00DB6EFB">
        <w:rPr>
          <w:lang w:val="fr-FR"/>
        </w:rPr>
        <w:t xml:space="preserve">45, </w:t>
      </w:r>
      <w:r w:rsidR="004106A4" w:rsidRPr="00DB6EFB">
        <w:rPr>
          <w:lang w:val="fr-FR"/>
        </w:rPr>
        <w:t>s</w:t>
      </w:r>
      <w:r w:rsidR="00022073" w:rsidRPr="00DB6EFB">
        <w:rPr>
          <w:lang w:val="fr-FR"/>
        </w:rPr>
        <w:t>al</w:t>
      </w:r>
      <w:r w:rsidR="004106A4" w:rsidRPr="00DB6EFB">
        <w:rPr>
          <w:lang w:val="fr-FR"/>
        </w:rPr>
        <w:t>le</w:t>
      </w:r>
      <w:r w:rsidR="00022073" w:rsidRPr="00DB6EFB">
        <w:rPr>
          <w:lang w:val="fr-FR"/>
        </w:rPr>
        <w:t xml:space="preserve"> Shanghai,</w:t>
      </w:r>
      <w:r w:rsidR="00E71BBC" w:rsidRPr="00DB6EFB">
        <w:rPr>
          <w:lang w:val="fr-FR"/>
        </w:rPr>
        <w:t xml:space="preserve"> NürnbergMesse, </w:t>
      </w:r>
      <w:r w:rsidR="00E71BBC" w:rsidRPr="005B74F9">
        <w:rPr>
          <w:lang w:val="fr-FR"/>
        </w:rPr>
        <w:t>N</w:t>
      </w:r>
      <w:r w:rsidR="004106A4" w:rsidRPr="005B74F9">
        <w:rPr>
          <w:lang w:val="fr-FR"/>
        </w:rPr>
        <w:t>urem</w:t>
      </w:r>
      <w:r w:rsidR="00E71BBC" w:rsidRPr="005B74F9">
        <w:rPr>
          <w:lang w:val="fr-FR"/>
        </w:rPr>
        <w:t>berg</w:t>
      </w:r>
    </w:p>
    <w:p w14:paraId="6D466FEE" w14:textId="253CEF06" w:rsidR="00022073" w:rsidRPr="00DB6EFB" w:rsidRDefault="00DB6EFB" w:rsidP="00646E4A">
      <w:pPr>
        <w:pStyle w:val="FiBLmrstandard"/>
        <w:rPr>
          <w:color w:val="000000" w:themeColor="text1"/>
          <w:lang w:val="fr-FR"/>
        </w:rPr>
      </w:pPr>
      <w:r w:rsidRPr="00DB6EFB">
        <w:rPr>
          <w:color w:val="000000" w:themeColor="text1"/>
          <w:lang w:val="fr-FR"/>
        </w:rPr>
        <w:t xml:space="preserve">La conférence </w:t>
      </w:r>
      <w:r w:rsidR="005B74F9">
        <w:rPr>
          <w:color w:val="000000" w:themeColor="text1"/>
          <w:lang w:val="fr-FR"/>
        </w:rPr>
        <w:t>se déroule</w:t>
      </w:r>
      <w:r w:rsidR="006D7225">
        <w:rPr>
          <w:color w:val="000000" w:themeColor="text1"/>
          <w:lang w:val="fr-FR"/>
        </w:rPr>
        <w:t>ra</w:t>
      </w:r>
      <w:r w:rsidRPr="00DB6EFB">
        <w:rPr>
          <w:color w:val="000000" w:themeColor="text1"/>
          <w:lang w:val="fr-FR"/>
        </w:rPr>
        <w:t xml:space="preserve"> en anglais</w:t>
      </w:r>
      <w:r w:rsidR="005B74F9" w:rsidRPr="005B74F9">
        <w:rPr>
          <w:color w:val="000000" w:themeColor="text1"/>
          <w:lang w:val="fr-FR"/>
        </w:rPr>
        <w:t xml:space="preserve">, </w:t>
      </w:r>
      <w:r w:rsidR="005B74F9">
        <w:rPr>
          <w:color w:val="000000" w:themeColor="text1"/>
          <w:lang w:val="fr-FR"/>
        </w:rPr>
        <w:t>avec</w:t>
      </w:r>
      <w:r w:rsidR="00022073" w:rsidRPr="00DB6EFB">
        <w:rPr>
          <w:color w:val="000000" w:themeColor="text1"/>
          <w:lang w:val="fr-FR"/>
        </w:rPr>
        <w:t xml:space="preserve"> </w:t>
      </w:r>
      <w:r>
        <w:rPr>
          <w:color w:val="000000" w:themeColor="text1"/>
          <w:lang w:val="fr-FR"/>
        </w:rPr>
        <w:t>interprétation simultanée en allemand</w:t>
      </w:r>
    </w:p>
    <w:p w14:paraId="4240E563" w14:textId="06FB14DD" w:rsidR="00646E4A" w:rsidRPr="00B221D3" w:rsidRDefault="009B0C59" w:rsidP="008A3482">
      <w:pPr>
        <w:pStyle w:val="FiBLmrbulletpoint"/>
        <w:rPr>
          <w:lang w:val="en-GB"/>
        </w:rPr>
      </w:pPr>
      <w:r w:rsidRPr="00B221D3">
        <w:rPr>
          <w:lang w:val="en-GB"/>
        </w:rPr>
        <w:t xml:space="preserve">Dr Susanne Padel, The Organic Research Centre, </w:t>
      </w:r>
      <w:r w:rsidR="00DB6EFB">
        <w:rPr>
          <w:lang w:val="en-GB"/>
        </w:rPr>
        <w:t>Royaume-Uni</w:t>
      </w:r>
      <w:r w:rsidRPr="00B221D3">
        <w:rPr>
          <w:lang w:val="en-GB"/>
        </w:rPr>
        <w:t>,</w:t>
      </w:r>
      <w:r w:rsidR="009C26C0">
        <w:rPr>
          <w:lang w:val="en-GB"/>
        </w:rPr>
        <w:t xml:space="preserve"> présentation</w:t>
      </w:r>
    </w:p>
    <w:p w14:paraId="4EACDE68" w14:textId="1755C84E" w:rsidR="00A63717" w:rsidRPr="009C26C0" w:rsidRDefault="00A63717" w:rsidP="00A63717">
      <w:pPr>
        <w:pStyle w:val="FiBLmrbulletpoint"/>
        <w:rPr>
          <w:lang w:val="fr-FR"/>
        </w:rPr>
      </w:pPr>
      <w:r w:rsidRPr="009C26C0">
        <w:rPr>
          <w:lang w:val="fr-FR"/>
        </w:rPr>
        <w:t xml:space="preserve">Dr Helga Willer, </w:t>
      </w:r>
      <w:r w:rsidR="009C26C0" w:rsidRPr="009C26C0">
        <w:rPr>
          <w:lang w:val="fr-FR"/>
        </w:rPr>
        <w:t xml:space="preserve">Institut de recherche de l’agriculture biologique </w:t>
      </w:r>
      <w:r w:rsidR="00D0775C">
        <w:rPr>
          <w:lang w:val="fr-FR"/>
        </w:rPr>
        <w:t>(</w:t>
      </w:r>
      <w:r w:rsidRPr="009C26C0">
        <w:rPr>
          <w:lang w:val="fr-FR"/>
        </w:rPr>
        <w:t>FiBL</w:t>
      </w:r>
      <w:r w:rsidR="00D0775C">
        <w:rPr>
          <w:lang w:val="fr-FR"/>
        </w:rPr>
        <w:t>)</w:t>
      </w:r>
      <w:r w:rsidRPr="009C26C0">
        <w:rPr>
          <w:lang w:val="fr-FR"/>
        </w:rPr>
        <w:t>, S</w:t>
      </w:r>
      <w:r w:rsidR="009C26C0">
        <w:rPr>
          <w:lang w:val="fr-FR"/>
        </w:rPr>
        <w:t>uisse</w:t>
      </w:r>
    </w:p>
    <w:p w14:paraId="58DD14A5" w14:textId="455CA593" w:rsidR="00A63717" w:rsidRPr="00B221D3" w:rsidRDefault="00A63717" w:rsidP="00A63717">
      <w:pPr>
        <w:pStyle w:val="FiBLmrbulletpoint"/>
      </w:pPr>
      <w:r w:rsidRPr="00B221D3">
        <w:t xml:space="preserve">Diana Schaack, Agrarmarkt Informations-Gesellschaft mbH (AMI), </w:t>
      </w:r>
      <w:r w:rsidR="009C26C0">
        <w:t>Allemagne</w:t>
      </w:r>
    </w:p>
    <w:p w14:paraId="346DE81E" w14:textId="0E48E4C1" w:rsidR="009B0C59" w:rsidRPr="009C26C0" w:rsidRDefault="00B221D3" w:rsidP="008A3482">
      <w:pPr>
        <w:pStyle w:val="FiBLmrbulletpoint"/>
        <w:rPr>
          <w:lang w:val="it-IT"/>
        </w:rPr>
      </w:pPr>
      <w:r w:rsidRPr="009C26C0">
        <w:rPr>
          <w:lang w:val="it-IT"/>
        </w:rPr>
        <w:t>Dr Eva Lacarce</w:t>
      </w:r>
      <w:r w:rsidR="007C4B79" w:rsidRPr="009C26C0">
        <w:rPr>
          <w:lang w:val="it-IT"/>
        </w:rPr>
        <w:t xml:space="preserve">, </w:t>
      </w:r>
      <w:r w:rsidR="009B0C59" w:rsidRPr="009C26C0">
        <w:rPr>
          <w:lang w:val="it-IT"/>
        </w:rPr>
        <w:t xml:space="preserve">Agence </w:t>
      </w:r>
      <w:r w:rsidR="008E7F9F" w:rsidRPr="009C26C0">
        <w:rPr>
          <w:lang w:val="it-IT"/>
        </w:rPr>
        <w:t>Bio</w:t>
      </w:r>
      <w:r w:rsidR="009B0C59" w:rsidRPr="009C26C0">
        <w:rPr>
          <w:lang w:val="it-IT"/>
        </w:rPr>
        <w:t xml:space="preserve">, </w:t>
      </w:r>
      <w:r w:rsidR="008A3482" w:rsidRPr="009C26C0">
        <w:rPr>
          <w:lang w:val="it-IT"/>
        </w:rPr>
        <w:t>Fran</w:t>
      </w:r>
      <w:r w:rsidR="009C26C0" w:rsidRPr="009C26C0">
        <w:rPr>
          <w:lang w:val="it-IT"/>
        </w:rPr>
        <w:t>c</w:t>
      </w:r>
      <w:r w:rsidR="009C26C0">
        <w:rPr>
          <w:lang w:val="it-IT"/>
        </w:rPr>
        <w:t>e</w:t>
      </w:r>
    </w:p>
    <w:p w14:paraId="776E8922" w14:textId="6BA09912" w:rsidR="009B0C59" w:rsidRPr="009C26C0" w:rsidRDefault="00B221D3" w:rsidP="008A3482">
      <w:pPr>
        <w:pStyle w:val="FiBLmrbulletpoint"/>
        <w:rPr>
          <w:lang w:val="fr-FR"/>
        </w:rPr>
      </w:pPr>
      <w:r w:rsidRPr="009C26C0">
        <w:rPr>
          <w:lang w:val="fr-FR"/>
        </w:rPr>
        <w:t>Lee Holstock,</w:t>
      </w:r>
      <w:r w:rsidR="009B0C59" w:rsidRPr="009C26C0">
        <w:rPr>
          <w:lang w:val="fr-FR"/>
        </w:rPr>
        <w:t xml:space="preserve"> Soil Association,</w:t>
      </w:r>
      <w:r w:rsidR="009C26C0" w:rsidRPr="009C26C0">
        <w:rPr>
          <w:lang w:val="fr-FR"/>
        </w:rPr>
        <w:t xml:space="preserve"> Royaume-Un</w:t>
      </w:r>
      <w:r w:rsidR="009C26C0">
        <w:rPr>
          <w:lang w:val="fr-FR"/>
        </w:rPr>
        <w:t>i</w:t>
      </w:r>
    </w:p>
    <w:p w14:paraId="668FCD11" w14:textId="486B908C" w:rsidR="00646E4A" w:rsidRPr="00871815" w:rsidRDefault="00B221D3" w:rsidP="001B7823">
      <w:pPr>
        <w:pStyle w:val="FiBLmrbulletpoint"/>
        <w:rPr>
          <w:lang w:val="it-IT"/>
        </w:rPr>
      </w:pPr>
      <w:r w:rsidRPr="00871815">
        <w:rPr>
          <w:lang w:val="it-IT"/>
        </w:rPr>
        <w:t xml:space="preserve">Prof. Dr Raffaele Zanoli, </w:t>
      </w:r>
      <w:r w:rsidR="009B0C59" w:rsidRPr="00871815">
        <w:rPr>
          <w:lang w:val="it-IT"/>
        </w:rPr>
        <w:t>Unive</w:t>
      </w:r>
      <w:r w:rsidR="00313532" w:rsidRPr="00871815">
        <w:rPr>
          <w:lang w:val="it-IT"/>
        </w:rPr>
        <w:t>rsità Politecnica delle Marche,</w:t>
      </w:r>
      <w:r w:rsidR="009B0C59" w:rsidRPr="00871815">
        <w:rPr>
          <w:lang w:val="it-IT"/>
        </w:rPr>
        <w:t xml:space="preserve"> </w:t>
      </w:r>
      <w:r w:rsidR="00D35602" w:rsidRPr="00871815">
        <w:rPr>
          <w:lang w:val="it-IT"/>
        </w:rPr>
        <w:t>Italie</w:t>
      </w:r>
    </w:p>
    <w:p w14:paraId="35BAFEC9" w14:textId="22E40F5D" w:rsidR="00646E4A" w:rsidRPr="009C26C0" w:rsidRDefault="009C26C0" w:rsidP="00646E4A">
      <w:pPr>
        <w:pStyle w:val="FiBLmrstandard"/>
        <w:rPr>
          <w:lang w:val="fr-FR"/>
        </w:rPr>
      </w:pPr>
      <w:r w:rsidRPr="005B74F9">
        <w:rPr>
          <w:lang w:val="fr-FR"/>
        </w:rPr>
        <w:t>Plus d’informations sur</w:t>
      </w:r>
      <w:r w:rsidR="002E78C0" w:rsidRPr="005B74F9">
        <w:rPr>
          <w:lang w:val="fr-FR"/>
        </w:rPr>
        <w:t xml:space="preserve"> </w:t>
      </w:r>
      <w:r w:rsidRPr="005B74F9">
        <w:rPr>
          <w:rStyle w:val="Hyperlink"/>
          <w:lang w:val="fr-FR"/>
        </w:rPr>
        <w:t xml:space="preserve">https://biofach.fibl.org/biofach-alle/biofach-2020.html </w:t>
      </w:r>
      <w:r w:rsidRPr="005B74F9">
        <w:rPr>
          <w:rStyle w:val="Hyperlink"/>
          <w:color w:val="auto"/>
          <w:u w:val="none"/>
          <w:lang w:val="fr-FR"/>
        </w:rPr>
        <w:t>(en allemand et anglais)</w:t>
      </w:r>
    </w:p>
    <w:p w14:paraId="61CD374A" w14:textId="5E27A60F" w:rsidR="00F678FA" w:rsidRPr="006A0CBC" w:rsidRDefault="006A0CBC" w:rsidP="00F678FA">
      <w:pPr>
        <w:pStyle w:val="FiBLmraddinfo"/>
        <w:rPr>
          <w:lang w:val="fr-FR"/>
        </w:rPr>
      </w:pPr>
      <w:r w:rsidRPr="006A0CBC">
        <w:rPr>
          <w:lang w:val="fr-FR"/>
        </w:rPr>
        <w:t>Pour consulter ce communiqué aux médias sur</w:t>
      </w:r>
      <w:r w:rsidR="0018097B" w:rsidRPr="006A0CBC">
        <w:rPr>
          <w:lang w:val="fr-FR"/>
        </w:rPr>
        <w:t xml:space="preserve"> Internet</w:t>
      </w:r>
    </w:p>
    <w:p w14:paraId="18CEFCA9" w14:textId="5CD44021" w:rsidR="00F678FA" w:rsidRPr="006A0CBC" w:rsidRDefault="006A0CBC" w:rsidP="00F678FA">
      <w:pPr>
        <w:pStyle w:val="FiBLmrstandard"/>
        <w:rPr>
          <w:lang w:val="fr-FR"/>
        </w:rPr>
      </w:pPr>
      <w:r>
        <w:rPr>
          <w:lang w:val="fr-FR"/>
        </w:rPr>
        <w:t>Vous trouverez</w:t>
      </w:r>
      <w:r w:rsidRPr="006A0CBC">
        <w:rPr>
          <w:lang w:val="fr-FR"/>
        </w:rPr>
        <w:t xml:space="preserve"> le présent communiqué aux médias ains</w:t>
      </w:r>
      <w:r>
        <w:rPr>
          <w:lang w:val="fr-FR"/>
        </w:rPr>
        <w:t>i que des graph</w:t>
      </w:r>
      <w:r w:rsidR="00174B82">
        <w:rPr>
          <w:lang w:val="fr-FR"/>
        </w:rPr>
        <w:t>iqu</w:t>
      </w:r>
      <w:r>
        <w:rPr>
          <w:lang w:val="fr-FR"/>
        </w:rPr>
        <w:t xml:space="preserve">es en ligne </w:t>
      </w:r>
      <w:r w:rsidR="006D7225">
        <w:rPr>
          <w:lang w:val="fr-FR"/>
        </w:rPr>
        <w:t>à l’adresse:</w:t>
      </w:r>
      <w:hyperlink r:id="rId19" w:history="1">
        <w:r w:rsidR="00B90EB6" w:rsidRPr="00151913">
          <w:rPr>
            <w:rStyle w:val="Hyperlink"/>
            <w:lang w:val="fr-FR"/>
          </w:rPr>
          <w:t xml:space="preserve"> https://www.fibl.org/fr/infotheque/medias.html</w:t>
        </w:r>
      </w:hyperlink>
    </w:p>
    <w:p w14:paraId="57BF8CA6" w14:textId="1F22B924" w:rsidR="002C0814" w:rsidRPr="005019B0" w:rsidRDefault="00A00192" w:rsidP="0044286A">
      <w:pPr>
        <w:pStyle w:val="FiBLmrannotationtitle"/>
        <w:rPr>
          <w:lang w:val="fr-FR"/>
        </w:rPr>
      </w:pPr>
      <w:r w:rsidRPr="005019B0">
        <w:rPr>
          <w:lang w:val="fr-FR"/>
        </w:rPr>
        <w:t>À propos du</w:t>
      </w:r>
      <w:r w:rsidR="00D35602" w:rsidRPr="00A00192">
        <w:rPr>
          <w:lang w:val="fr-FR"/>
        </w:rPr>
        <w:t xml:space="preserve"> </w:t>
      </w:r>
      <w:r w:rsidR="00D35602" w:rsidRPr="005019B0">
        <w:rPr>
          <w:lang w:val="fr-FR"/>
        </w:rPr>
        <w:t>FiBL</w:t>
      </w:r>
    </w:p>
    <w:p w14:paraId="3F9D325E" w14:textId="7EC9B3C3" w:rsidR="005019B0" w:rsidRPr="00DF3889" w:rsidRDefault="005019B0" w:rsidP="005019B0">
      <w:pPr>
        <w:pStyle w:val="FiBLmmerluterung"/>
        <w:rPr>
          <w:lang w:val="fr-CH"/>
        </w:rPr>
      </w:pPr>
      <w:r w:rsidRPr="00DF3889">
        <w:rPr>
          <w:lang w:val="fr-CH"/>
        </w:rPr>
        <w:t xml:space="preserve">L’Institut de recherche de l’agriculture biologique </w:t>
      </w:r>
      <w:r w:rsidR="00845226">
        <w:rPr>
          <w:lang w:val="fr-CH"/>
        </w:rPr>
        <w:t>(</w:t>
      </w:r>
      <w:r w:rsidRPr="00DF3889">
        <w:rPr>
          <w:lang w:val="fr-CH"/>
        </w:rPr>
        <w:t>FiBL</w:t>
      </w:r>
      <w:r w:rsidR="00845226">
        <w:rPr>
          <w:lang w:val="fr-CH"/>
        </w:rPr>
        <w:t>)</w:t>
      </w:r>
      <w:r w:rsidRPr="00DF3889">
        <w:rPr>
          <w:lang w:val="fr-CH"/>
        </w:rPr>
        <w:t xml:space="preserve">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Sur ses différents sites, l’institut compte au total </w:t>
      </w:r>
      <w:r>
        <w:rPr>
          <w:lang w:val="fr-CH"/>
        </w:rPr>
        <w:t>300 </w:t>
      </w:r>
      <w:r w:rsidRPr="00DF3889">
        <w:rPr>
          <w:lang w:val="fr-CH"/>
        </w:rPr>
        <w:t xml:space="preserve">collaboratrices et collaborateurs. </w:t>
      </w:r>
    </w:p>
    <w:p w14:paraId="593A2C0A" w14:textId="6439DEBA" w:rsidR="00D35602" w:rsidRPr="00B221D3" w:rsidRDefault="00101471" w:rsidP="00D35602">
      <w:pPr>
        <w:pStyle w:val="FiBLmrannotationbulletpoint"/>
      </w:pPr>
      <w:r>
        <w:t xml:space="preserve">Site </w:t>
      </w:r>
      <w:r w:rsidRPr="00D71A45">
        <w:t>web</w:t>
      </w:r>
      <w:r w:rsidR="00613117" w:rsidRPr="00B221D3">
        <w:t xml:space="preserve">: </w:t>
      </w:r>
      <w:hyperlink r:id="rId20" w:history="1">
        <w:r w:rsidR="00613117" w:rsidRPr="00B221D3">
          <w:rPr>
            <w:rStyle w:val="Hyperlink"/>
          </w:rPr>
          <w:t>www.fibl.org</w:t>
        </w:r>
      </w:hyperlink>
    </w:p>
    <w:p w14:paraId="27B85121" w14:textId="79A5D138" w:rsidR="00613117" w:rsidRPr="00101471" w:rsidRDefault="00613117" w:rsidP="00613117">
      <w:pPr>
        <w:pStyle w:val="FiBLmrannotationbulletpoint"/>
        <w:rPr>
          <w:lang w:val="fr-FR"/>
        </w:rPr>
      </w:pPr>
      <w:r w:rsidRPr="00101471">
        <w:rPr>
          <w:lang w:val="fr-FR"/>
        </w:rPr>
        <w:t>Vid</w:t>
      </w:r>
      <w:r w:rsidR="00101471" w:rsidRPr="00101471">
        <w:rPr>
          <w:lang w:val="fr-FR"/>
        </w:rPr>
        <w:t>é</w:t>
      </w:r>
      <w:r w:rsidRPr="00101471">
        <w:rPr>
          <w:lang w:val="fr-FR"/>
        </w:rPr>
        <w:t xml:space="preserve">o: </w:t>
      </w:r>
      <w:hyperlink r:id="rId21" w:history="1">
        <w:r w:rsidR="00101471" w:rsidRPr="00101471">
          <w:rPr>
            <w:rStyle w:val="Hyperlink"/>
            <w:lang w:val="fr-FR"/>
          </w:rPr>
          <w:t>www.youtube.com/watch?v=ZYWxUGPHgZY</w:t>
        </w:r>
      </w:hyperlink>
    </w:p>
    <w:p w14:paraId="650D1C21" w14:textId="77777777" w:rsidR="00466809" w:rsidRPr="00101471" w:rsidRDefault="00466809">
      <w:pPr>
        <w:rPr>
          <w:rFonts w:ascii="Gill Sans MT" w:hAnsi="Gill Sans MT"/>
          <w:b/>
          <w:sz w:val="34"/>
          <w:lang w:val="fr-FR"/>
        </w:rPr>
      </w:pPr>
      <w:r w:rsidRPr="00101471">
        <w:rPr>
          <w:lang w:val="fr-FR"/>
        </w:rPr>
        <w:br w:type="page"/>
      </w:r>
    </w:p>
    <w:p w14:paraId="42FD0038" w14:textId="6BDE041B" w:rsidR="00686D1E" w:rsidRPr="009B738F" w:rsidRDefault="009B738F" w:rsidP="00EB6B1C">
      <w:pPr>
        <w:pStyle w:val="FiBLmrtitle"/>
        <w:rPr>
          <w:lang w:val="fr-FR"/>
        </w:rPr>
      </w:pPr>
      <w:r w:rsidRPr="009B738F">
        <w:rPr>
          <w:lang w:val="fr-FR"/>
        </w:rPr>
        <w:lastRenderedPageBreak/>
        <w:t xml:space="preserve">L’agriculture biologique en </w:t>
      </w:r>
      <w:r w:rsidR="00584129" w:rsidRPr="009B738F">
        <w:rPr>
          <w:lang w:val="fr-FR"/>
        </w:rPr>
        <w:t>Europ</w:t>
      </w:r>
      <w:r w:rsidRPr="009B738F">
        <w:rPr>
          <w:lang w:val="fr-FR"/>
        </w:rPr>
        <w:t>e</w:t>
      </w:r>
      <w:r w:rsidR="00584129" w:rsidRPr="009B738F">
        <w:rPr>
          <w:lang w:val="fr-FR"/>
        </w:rPr>
        <w:t xml:space="preserve"> </w:t>
      </w:r>
      <w:r w:rsidRPr="009B738F">
        <w:rPr>
          <w:lang w:val="fr-FR"/>
        </w:rPr>
        <w:t>et dans l’</w:t>
      </w:r>
      <w:r w:rsidR="00584129" w:rsidRPr="009B738F">
        <w:rPr>
          <w:lang w:val="fr-FR"/>
        </w:rPr>
        <w:t>Union</w:t>
      </w:r>
      <w:r w:rsidRPr="009B738F">
        <w:rPr>
          <w:lang w:val="fr-FR"/>
        </w:rPr>
        <w:t xml:space="preserve"> </w:t>
      </w:r>
      <w:r>
        <w:rPr>
          <w:lang w:val="fr-FR"/>
        </w:rPr>
        <w:t>européenne</w:t>
      </w:r>
      <w:r w:rsidR="00584129" w:rsidRPr="009B738F">
        <w:rPr>
          <w:lang w:val="fr-FR"/>
        </w:rPr>
        <w:t xml:space="preserve">: </w:t>
      </w:r>
      <w:r w:rsidR="00797B79" w:rsidRPr="00D71A45">
        <w:rPr>
          <w:lang w:val="fr-FR"/>
        </w:rPr>
        <w:t>chiffres clés</w:t>
      </w:r>
      <w:r w:rsidR="00584129" w:rsidRPr="009B738F">
        <w:rPr>
          <w:lang w:val="fr-FR"/>
        </w:rPr>
        <w:t xml:space="preserve"> </w:t>
      </w:r>
      <w:r w:rsidR="009B0C59" w:rsidRPr="009B738F">
        <w:rPr>
          <w:lang w:val="fr-FR"/>
        </w:rPr>
        <w:t>201</w:t>
      </w:r>
      <w:r w:rsidR="0006500E" w:rsidRPr="009B738F">
        <w:rPr>
          <w:lang w:val="fr-FR"/>
        </w:rPr>
        <w:t>8</w:t>
      </w:r>
    </w:p>
    <w:tbl>
      <w:tblPr>
        <w:tblStyle w:val="HelleSchattierung-Akzent1"/>
        <w:tblW w:w="5000" w:type="pct"/>
        <w:tblLayout w:type="fixed"/>
        <w:tblLook w:val="04A0" w:firstRow="1" w:lastRow="0" w:firstColumn="1" w:lastColumn="0" w:noHBand="0" w:noVBand="1"/>
      </w:tblPr>
      <w:tblGrid>
        <w:gridCol w:w="2354"/>
        <w:gridCol w:w="1519"/>
        <w:gridCol w:w="1651"/>
        <w:gridCol w:w="2980"/>
      </w:tblGrid>
      <w:tr w:rsidR="00472118" w:rsidRPr="001539C5" w14:paraId="08ABA3A2" w14:textId="77777777" w:rsidTr="00215C1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7EFE4333" w14:textId="6B9DB9DC" w:rsidR="00584129" w:rsidRPr="005B74F9" w:rsidRDefault="00584129" w:rsidP="00472118">
            <w:pPr>
              <w:rPr>
                <w:rFonts w:ascii="Gill Sans MT" w:hAnsi="Gill Sans MT"/>
                <w:bCs w:val="0"/>
                <w:sz w:val="16"/>
                <w:szCs w:val="16"/>
                <w:lang w:val="fr-CH"/>
              </w:rPr>
            </w:pPr>
            <w:r w:rsidRPr="005B74F9">
              <w:rPr>
                <w:rFonts w:ascii="Gill Sans MT" w:hAnsi="Gill Sans MT"/>
                <w:bCs w:val="0"/>
                <w:sz w:val="16"/>
                <w:szCs w:val="16"/>
                <w:lang w:val="fr-CH"/>
              </w:rPr>
              <w:t>Indi</w:t>
            </w:r>
            <w:r w:rsidR="00797B79" w:rsidRPr="005B74F9">
              <w:rPr>
                <w:rFonts w:ascii="Gill Sans MT" w:hAnsi="Gill Sans MT"/>
                <w:bCs w:val="0"/>
                <w:sz w:val="16"/>
                <w:szCs w:val="16"/>
                <w:lang w:val="fr-CH"/>
              </w:rPr>
              <w:t>cateu</w:t>
            </w:r>
            <w:r w:rsidRPr="005B74F9">
              <w:rPr>
                <w:rFonts w:ascii="Gill Sans MT" w:hAnsi="Gill Sans MT"/>
                <w:bCs w:val="0"/>
                <w:sz w:val="16"/>
                <w:szCs w:val="16"/>
                <w:lang w:val="fr-CH"/>
              </w:rPr>
              <w:t>r</w:t>
            </w:r>
          </w:p>
        </w:tc>
        <w:tc>
          <w:tcPr>
            <w:tcW w:w="893" w:type="pct"/>
            <w:vAlign w:val="center"/>
          </w:tcPr>
          <w:p w14:paraId="7B64FA14" w14:textId="40D58647" w:rsidR="00584129" w:rsidRPr="005B74F9" w:rsidRDefault="00584129" w:rsidP="00472118">
            <w:pPr>
              <w:jc w:val="right"/>
              <w:cnfStyle w:val="100000000000" w:firstRow="1" w:lastRow="0" w:firstColumn="0" w:lastColumn="0" w:oddVBand="0" w:evenVBand="0" w:oddHBand="0" w:evenHBand="0" w:firstRowFirstColumn="0" w:firstRowLastColumn="0" w:lastRowFirstColumn="0" w:lastRowLastColumn="0"/>
              <w:rPr>
                <w:rFonts w:ascii="Gill Sans MT" w:hAnsi="Gill Sans MT"/>
                <w:bCs w:val="0"/>
                <w:sz w:val="16"/>
                <w:szCs w:val="16"/>
                <w:lang w:val="fr-CH"/>
              </w:rPr>
            </w:pPr>
            <w:r w:rsidRPr="005B74F9">
              <w:rPr>
                <w:rFonts w:ascii="Gill Sans MT" w:hAnsi="Gill Sans MT"/>
                <w:bCs w:val="0"/>
                <w:sz w:val="16"/>
                <w:szCs w:val="16"/>
                <w:lang w:val="fr-CH"/>
              </w:rPr>
              <w:t>Europ</w:t>
            </w:r>
            <w:r w:rsidR="00797B79" w:rsidRPr="005B74F9">
              <w:rPr>
                <w:rFonts w:ascii="Gill Sans MT" w:hAnsi="Gill Sans MT"/>
                <w:bCs w:val="0"/>
                <w:sz w:val="16"/>
                <w:szCs w:val="16"/>
                <w:lang w:val="fr-CH"/>
              </w:rPr>
              <w:t>e</w:t>
            </w:r>
          </w:p>
        </w:tc>
        <w:tc>
          <w:tcPr>
            <w:tcW w:w="971" w:type="pct"/>
            <w:vAlign w:val="center"/>
          </w:tcPr>
          <w:p w14:paraId="6BDAC986" w14:textId="7ED7798D" w:rsidR="00584129" w:rsidRPr="005B74F9" w:rsidRDefault="00797B79" w:rsidP="00472118">
            <w:pPr>
              <w:jc w:val="right"/>
              <w:cnfStyle w:val="100000000000" w:firstRow="1" w:lastRow="0" w:firstColumn="0" w:lastColumn="0" w:oddVBand="0" w:evenVBand="0" w:oddHBand="0" w:evenHBand="0" w:firstRowFirstColumn="0" w:firstRowLastColumn="0" w:lastRowFirstColumn="0" w:lastRowLastColumn="0"/>
              <w:rPr>
                <w:rFonts w:ascii="Gill Sans MT" w:hAnsi="Gill Sans MT"/>
                <w:bCs w:val="0"/>
                <w:sz w:val="16"/>
                <w:szCs w:val="16"/>
                <w:lang w:val="fr-CH"/>
              </w:rPr>
            </w:pPr>
            <w:r w:rsidRPr="005B74F9">
              <w:rPr>
                <w:rFonts w:ascii="Gill Sans MT" w:hAnsi="Gill Sans MT"/>
                <w:bCs w:val="0"/>
                <w:sz w:val="16"/>
                <w:szCs w:val="16"/>
                <w:lang w:val="fr-CH"/>
              </w:rPr>
              <w:t>Union européenne</w:t>
            </w:r>
          </w:p>
        </w:tc>
        <w:tc>
          <w:tcPr>
            <w:tcW w:w="1752" w:type="pct"/>
            <w:vAlign w:val="center"/>
          </w:tcPr>
          <w:p w14:paraId="4372080D" w14:textId="06E5AAC8" w:rsidR="00584129" w:rsidRPr="005B74F9" w:rsidRDefault="00797B79" w:rsidP="00472118">
            <w:pPr>
              <w:cnfStyle w:val="100000000000" w:firstRow="1" w:lastRow="0" w:firstColumn="0" w:lastColumn="0" w:oddVBand="0" w:evenVBand="0" w:oddHBand="0" w:evenHBand="0" w:firstRowFirstColumn="0" w:firstRowLastColumn="0" w:lastRowFirstColumn="0" w:lastRowLastColumn="0"/>
              <w:rPr>
                <w:rFonts w:ascii="Gill Sans MT" w:hAnsi="Gill Sans MT"/>
                <w:bCs w:val="0"/>
                <w:sz w:val="16"/>
                <w:szCs w:val="16"/>
                <w:lang w:val="fr-CH"/>
              </w:rPr>
            </w:pPr>
            <w:r w:rsidRPr="005B74F9">
              <w:rPr>
                <w:rFonts w:ascii="Gill Sans MT" w:hAnsi="Gill Sans MT"/>
                <w:bCs w:val="0"/>
                <w:sz w:val="16"/>
                <w:szCs w:val="16"/>
                <w:lang w:val="fr-CH"/>
              </w:rPr>
              <w:t>Les 3 pays en têt</w:t>
            </w:r>
            <w:r w:rsidR="004660E3" w:rsidRPr="005B74F9">
              <w:rPr>
                <w:rFonts w:ascii="Gill Sans MT" w:hAnsi="Gill Sans MT"/>
                <w:bCs w:val="0"/>
                <w:sz w:val="16"/>
                <w:szCs w:val="16"/>
                <w:lang w:val="fr-CH"/>
              </w:rPr>
              <w:t>e d</w:t>
            </w:r>
            <w:r w:rsidR="00B90EB6">
              <w:rPr>
                <w:rFonts w:ascii="Gill Sans MT" w:hAnsi="Gill Sans MT"/>
                <w:bCs w:val="0"/>
                <w:sz w:val="16"/>
                <w:szCs w:val="16"/>
                <w:lang w:val="fr-CH"/>
              </w:rPr>
              <w:t>e</w:t>
            </w:r>
            <w:r w:rsidR="004660E3" w:rsidRPr="005B74F9">
              <w:rPr>
                <w:rFonts w:ascii="Gill Sans MT" w:hAnsi="Gill Sans MT"/>
                <w:bCs w:val="0"/>
                <w:sz w:val="16"/>
                <w:szCs w:val="16"/>
                <w:lang w:val="fr-CH"/>
              </w:rPr>
              <w:t xml:space="preserve"> classement</w:t>
            </w:r>
          </w:p>
        </w:tc>
      </w:tr>
      <w:tr w:rsidR="00472118" w:rsidRPr="001539C5" w14:paraId="5C84CD76" w14:textId="77777777" w:rsidTr="00215C1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3BB12736" w14:textId="73AF1031" w:rsidR="00584129" w:rsidRPr="005B74F9" w:rsidRDefault="00713D44" w:rsidP="00F1030B">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Surface agricole biologique en hectares</w:t>
            </w:r>
          </w:p>
        </w:tc>
        <w:tc>
          <w:tcPr>
            <w:tcW w:w="893" w:type="pct"/>
            <w:vAlign w:val="center"/>
          </w:tcPr>
          <w:p w14:paraId="163A26A6" w14:textId="5B0A9F7A" w:rsidR="00584129" w:rsidRPr="005B74F9" w:rsidRDefault="00584129" w:rsidP="00F1030B">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1</w:t>
            </w:r>
            <w:r w:rsidR="0006500E" w:rsidRPr="005B74F9">
              <w:rPr>
                <w:rFonts w:ascii="Gill Sans MT" w:hAnsi="Gill Sans MT"/>
                <w:sz w:val="16"/>
                <w:szCs w:val="16"/>
                <w:lang w:val="fr-CH"/>
              </w:rPr>
              <w:t>5</w:t>
            </w:r>
            <w:r w:rsidR="00125125" w:rsidRPr="005B74F9">
              <w:rPr>
                <w:rFonts w:ascii="Gill Sans MT" w:hAnsi="Gill Sans MT"/>
                <w:sz w:val="16"/>
                <w:szCs w:val="16"/>
                <w:lang w:val="fr-CH"/>
              </w:rPr>
              <w:t>,6</w:t>
            </w:r>
            <w:r w:rsidRPr="005B74F9">
              <w:rPr>
                <w:rFonts w:ascii="Gill Sans MT" w:hAnsi="Gill Sans MT"/>
                <w:sz w:val="16"/>
                <w:szCs w:val="16"/>
                <w:lang w:val="fr-CH"/>
              </w:rPr>
              <w:t xml:space="preserve"> </w:t>
            </w:r>
            <w:r w:rsidR="00797B79" w:rsidRPr="005B74F9">
              <w:rPr>
                <w:rFonts w:ascii="Gill Sans MT" w:hAnsi="Gill Sans MT"/>
                <w:sz w:val="16"/>
                <w:szCs w:val="16"/>
                <w:lang w:val="fr-CH"/>
              </w:rPr>
              <w:t>millions</w:t>
            </w:r>
            <w:r w:rsidRPr="005B74F9">
              <w:rPr>
                <w:rFonts w:ascii="Gill Sans MT" w:hAnsi="Gill Sans MT"/>
                <w:sz w:val="16"/>
                <w:szCs w:val="16"/>
                <w:lang w:val="fr-CH"/>
              </w:rPr>
              <w:t xml:space="preserve"> ha</w:t>
            </w:r>
          </w:p>
        </w:tc>
        <w:tc>
          <w:tcPr>
            <w:tcW w:w="971" w:type="pct"/>
            <w:vAlign w:val="center"/>
          </w:tcPr>
          <w:p w14:paraId="4FE97496" w14:textId="65EF2A2E" w:rsidR="00584129" w:rsidRPr="005B74F9" w:rsidRDefault="00584129" w:rsidP="00F1030B">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1</w:t>
            </w:r>
            <w:r w:rsidR="0006500E" w:rsidRPr="005B74F9">
              <w:rPr>
                <w:rFonts w:ascii="Gill Sans MT" w:hAnsi="Gill Sans MT"/>
                <w:sz w:val="16"/>
                <w:szCs w:val="16"/>
                <w:lang w:val="fr-CH"/>
              </w:rPr>
              <w:t>3</w:t>
            </w:r>
            <w:r w:rsidRPr="005B74F9">
              <w:rPr>
                <w:rFonts w:ascii="Gill Sans MT" w:hAnsi="Gill Sans MT"/>
                <w:sz w:val="16"/>
                <w:szCs w:val="16"/>
                <w:lang w:val="fr-CH"/>
              </w:rPr>
              <w:t>,</w:t>
            </w:r>
            <w:r w:rsidR="00125125" w:rsidRPr="005B74F9">
              <w:rPr>
                <w:rFonts w:ascii="Gill Sans MT" w:hAnsi="Gill Sans MT"/>
                <w:sz w:val="16"/>
                <w:szCs w:val="16"/>
                <w:lang w:val="fr-CH"/>
              </w:rPr>
              <w:t>8</w:t>
            </w:r>
            <w:r w:rsidRPr="005B74F9">
              <w:rPr>
                <w:rFonts w:ascii="Gill Sans MT" w:hAnsi="Gill Sans MT"/>
                <w:sz w:val="16"/>
                <w:szCs w:val="16"/>
                <w:lang w:val="fr-CH"/>
              </w:rPr>
              <w:t xml:space="preserve"> </w:t>
            </w:r>
            <w:r w:rsidR="00797B79" w:rsidRPr="005B74F9">
              <w:rPr>
                <w:rFonts w:ascii="Gill Sans MT" w:hAnsi="Gill Sans MT"/>
                <w:sz w:val="16"/>
                <w:szCs w:val="16"/>
                <w:lang w:val="fr-CH"/>
              </w:rPr>
              <w:t>millions</w:t>
            </w:r>
            <w:r w:rsidRPr="005B74F9">
              <w:rPr>
                <w:rFonts w:ascii="Gill Sans MT" w:hAnsi="Gill Sans MT"/>
                <w:sz w:val="16"/>
                <w:szCs w:val="16"/>
                <w:lang w:val="fr-CH"/>
              </w:rPr>
              <w:t xml:space="preserve"> ha</w:t>
            </w:r>
          </w:p>
        </w:tc>
        <w:tc>
          <w:tcPr>
            <w:tcW w:w="1752" w:type="pct"/>
            <w:vAlign w:val="center"/>
          </w:tcPr>
          <w:p w14:paraId="4A2A86DE" w14:textId="44C0A7C2" w:rsidR="00584129" w:rsidRPr="005B74F9" w:rsidRDefault="00EB5787" w:rsidP="0006500E">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Espagne</w:t>
            </w:r>
            <w:r w:rsidR="00584129" w:rsidRPr="005B74F9">
              <w:rPr>
                <w:rFonts w:ascii="Gill Sans MT" w:hAnsi="Gill Sans MT"/>
                <w:sz w:val="16"/>
                <w:szCs w:val="16"/>
                <w:lang w:val="fr-CH"/>
              </w:rPr>
              <w:t xml:space="preserve"> (</w:t>
            </w:r>
            <w:r w:rsidR="00125125" w:rsidRPr="005B74F9">
              <w:rPr>
                <w:rFonts w:ascii="Gill Sans MT" w:hAnsi="Gill Sans MT"/>
                <w:sz w:val="16"/>
                <w:szCs w:val="16"/>
                <w:lang w:val="fr-CH"/>
              </w:rPr>
              <w:t>2</w:t>
            </w:r>
            <w:r w:rsidR="0006500E" w:rsidRPr="005B74F9">
              <w:rPr>
                <w:rFonts w:ascii="Gill Sans MT" w:hAnsi="Gill Sans MT"/>
                <w:sz w:val="16"/>
                <w:szCs w:val="16"/>
                <w:lang w:val="fr-CH"/>
              </w:rPr>
              <w:t xml:space="preserve">,2 </w:t>
            </w:r>
            <w:r w:rsidRPr="005B74F9">
              <w:rPr>
                <w:rFonts w:ascii="Gill Sans MT" w:hAnsi="Gill Sans MT"/>
                <w:sz w:val="16"/>
                <w:szCs w:val="16"/>
                <w:lang w:val="fr-CH"/>
              </w:rPr>
              <w:t>m</w:t>
            </w:r>
            <w:r w:rsidR="0006500E" w:rsidRPr="005B74F9">
              <w:rPr>
                <w:rFonts w:ascii="Gill Sans MT" w:hAnsi="Gill Sans MT"/>
                <w:sz w:val="16"/>
                <w:szCs w:val="16"/>
                <w:lang w:val="fr-CH"/>
              </w:rPr>
              <w:t>illion</w:t>
            </w:r>
            <w:r w:rsidRPr="005B74F9">
              <w:rPr>
                <w:rFonts w:ascii="Gill Sans MT" w:hAnsi="Gill Sans MT"/>
                <w:sz w:val="16"/>
                <w:szCs w:val="16"/>
                <w:lang w:val="fr-CH"/>
              </w:rPr>
              <w:t>s</w:t>
            </w:r>
            <w:r w:rsidR="0006500E" w:rsidRPr="005B74F9">
              <w:rPr>
                <w:rFonts w:ascii="Gill Sans MT" w:hAnsi="Gill Sans MT"/>
                <w:sz w:val="16"/>
                <w:szCs w:val="16"/>
                <w:lang w:val="fr-CH"/>
              </w:rPr>
              <w:t xml:space="preserve"> ha)</w:t>
            </w:r>
            <w:r w:rsidR="0006500E" w:rsidRPr="005B74F9">
              <w:rPr>
                <w:rFonts w:ascii="Gill Sans MT" w:hAnsi="Gill Sans MT"/>
                <w:sz w:val="16"/>
                <w:szCs w:val="16"/>
                <w:lang w:val="fr-CH"/>
              </w:rPr>
              <w:br/>
              <w:t>Fran</w:t>
            </w:r>
            <w:r w:rsidRPr="005B74F9">
              <w:rPr>
                <w:rFonts w:ascii="Gill Sans MT" w:hAnsi="Gill Sans MT"/>
                <w:sz w:val="16"/>
                <w:szCs w:val="16"/>
                <w:lang w:val="fr-CH"/>
              </w:rPr>
              <w:t>ce</w:t>
            </w:r>
            <w:r w:rsidR="0006500E" w:rsidRPr="005B74F9">
              <w:rPr>
                <w:rFonts w:ascii="Gill Sans MT" w:hAnsi="Gill Sans MT"/>
                <w:sz w:val="16"/>
                <w:szCs w:val="16"/>
                <w:lang w:val="fr-CH"/>
              </w:rPr>
              <w:t xml:space="preserve"> (2,0 </w:t>
            </w:r>
            <w:r w:rsidRPr="005B74F9">
              <w:rPr>
                <w:rFonts w:ascii="Gill Sans MT" w:hAnsi="Gill Sans MT"/>
                <w:sz w:val="16"/>
                <w:szCs w:val="16"/>
                <w:lang w:val="fr-CH"/>
              </w:rPr>
              <w:t>m</w:t>
            </w:r>
            <w:r w:rsidR="0006500E" w:rsidRPr="005B74F9">
              <w:rPr>
                <w:rFonts w:ascii="Gill Sans MT" w:hAnsi="Gill Sans MT"/>
                <w:sz w:val="16"/>
                <w:szCs w:val="16"/>
                <w:lang w:val="fr-CH"/>
              </w:rPr>
              <w:t>illion</w:t>
            </w:r>
            <w:r w:rsidRPr="005B74F9">
              <w:rPr>
                <w:rFonts w:ascii="Gill Sans MT" w:hAnsi="Gill Sans MT"/>
                <w:sz w:val="16"/>
                <w:szCs w:val="16"/>
                <w:lang w:val="fr-CH"/>
              </w:rPr>
              <w:t>s</w:t>
            </w:r>
            <w:r w:rsidR="0006500E" w:rsidRPr="005B74F9">
              <w:rPr>
                <w:rFonts w:ascii="Gill Sans MT" w:hAnsi="Gill Sans MT"/>
                <w:sz w:val="16"/>
                <w:szCs w:val="16"/>
                <w:lang w:val="fr-CH"/>
              </w:rPr>
              <w:t xml:space="preserve"> ha)</w:t>
            </w:r>
            <w:r w:rsidR="0006500E" w:rsidRPr="005B74F9">
              <w:rPr>
                <w:rFonts w:ascii="Gill Sans MT" w:hAnsi="Gill Sans MT"/>
                <w:sz w:val="16"/>
                <w:szCs w:val="16"/>
                <w:lang w:val="fr-CH"/>
              </w:rPr>
              <w:br/>
              <w:t>Italie (2,0</w:t>
            </w:r>
            <w:r w:rsidR="00584129" w:rsidRPr="005B74F9">
              <w:rPr>
                <w:rFonts w:ascii="Gill Sans MT" w:hAnsi="Gill Sans MT"/>
                <w:sz w:val="16"/>
                <w:szCs w:val="16"/>
                <w:lang w:val="fr-CH"/>
              </w:rPr>
              <w:t xml:space="preserve"> </w:t>
            </w:r>
            <w:r w:rsidRPr="005B74F9">
              <w:rPr>
                <w:rFonts w:ascii="Gill Sans MT" w:hAnsi="Gill Sans MT"/>
                <w:sz w:val="16"/>
                <w:szCs w:val="16"/>
                <w:lang w:val="fr-CH"/>
              </w:rPr>
              <w:t>m</w:t>
            </w:r>
            <w:r w:rsidR="00584129" w:rsidRPr="005B74F9">
              <w:rPr>
                <w:rFonts w:ascii="Gill Sans MT" w:hAnsi="Gill Sans MT"/>
                <w:sz w:val="16"/>
                <w:szCs w:val="16"/>
                <w:lang w:val="fr-CH"/>
              </w:rPr>
              <w:t>illion</w:t>
            </w:r>
            <w:r w:rsidRPr="005B74F9">
              <w:rPr>
                <w:rFonts w:ascii="Gill Sans MT" w:hAnsi="Gill Sans MT"/>
                <w:sz w:val="16"/>
                <w:szCs w:val="16"/>
                <w:lang w:val="fr-CH"/>
              </w:rPr>
              <w:t>s</w:t>
            </w:r>
            <w:r w:rsidR="00584129" w:rsidRPr="005B74F9">
              <w:rPr>
                <w:rFonts w:ascii="Gill Sans MT" w:hAnsi="Gill Sans MT"/>
                <w:sz w:val="16"/>
                <w:szCs w:val="16"/>
                <w:lang w:val="fr-CH"/>
              </w:rPr>
              <w:t xml:space="preserve"> ha)</w:t>
            </w:r>
          </w:p>
        </w:tc>
      </w:tr>
      <w:tr w:rsidR="00472118" w:rsidRPr="005B74F9" w14:paraId="3A8DB2AF" w14:textId="77777777" w:rsidTr="00215C15">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6DCB0766" w14:textId="3F265EDA" w:rsidR="00584129" w:rsidRPr="005B74F9" w:rsidRDefault="00713D44" w:rsidP="00F61C44">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Part de la surface agricole biologique</w:t>
            </w:r>
          </w:p>
        </w:tc>
        <w:tc>
          <w:tcPr>
            <w:tcW w:w="893" w:type="pct"/>
            <w:vAlign w:val="center"/>
          </w:tcPr>
          <w:p w14:paraId="20E7C499" w14:textId="50E44C0A" w:rsidR="00584129" w:rsidRPr="005B74F9" w:rsidRDefault="0006500E" w:rsidP="0006500E">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3</w:t>
            </w:r>
            <w:r w:rsidR="00584129" w:rsidRPr="005B74F9">
              <w:rPr>
                <w:rFonts w:ascii="Gill Sans MT" w:hAnsi="Gill Sans MT"/>
                <w:sz w:val="16"/>
                <w:szCs w:val="16"/>
                <w:lang w:val="fr-CH"/>
              </w:rPr>
              <w:t>,</w:t>
            </w:r>
            <w:r w:rsidRPr="005B74F9">
              <w:rPr>
                <w:rFonts w:ascii="Gill Sans MT" w:hAnsi="Gill Sans MT"/>
                <w:sz w:val="16"/>
                <w:szCs w:val="16"/>
                <w:lang w:val="fr-CH"/>
              </w:rPr>
              <w:t>1</w:t>
            </w:r>
            <w:r w:rsidR="00797B79" w:rsidRPr="005B74F9">
              <w:rPr>
                <w:rFonts w:ascii="Gill Sans MT" w:hAnsi="Gill Sans MT"/>
                <w:sz w:val="16"/>
                <w:szCs w:val="16"/>
                <w:lang w:val="fr-CH"/>
              </w:rPr>
              <w:t> </w:t>
            </w:r>
            <w:r w:rsidR="00584129" w:rsidRPr="005B74F9">
              <w:rPr>
                <w:rFonts w:ascii="Gill Sans MT" w:hAnsi="Gill Sans MT"/>
                <w:sz w:val="16"/>
                <w:szCs w:val="16"/>
                <w:lang w:val="fr-CH"/>
              </w:rPr>
              <w:t>%</w:t>
            </w:r>
          </w:p>
        </w:tc>
        <w:tc>
          <w:tcPr>
            <w:tcW w:w="971" w:type="pct"/>
            <w:vAlign w:val="center"/>
          </w:tcPr>
          <w:p w14:paraId="766DF4D3" w14:textId="5599011A" w:rsidR="00584129" w:rsidRPr="005B74F9" w:rsidRDefault="00125125"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7</w:t>
            </w:r>
            <w:r w:rsidR="0006500E" w:rsidRPr="005B74F9">
              <w:rPr>
                <w:rFonts w:ascii="Gill Sans MT" w:hAnsi="Gill Sans MT"/>
                <w:sz w:val="16"/>
                <w:szCs w:val="16"/>
                <w:lang w:val="fr-CH"/>
              </w:rPr>
              <w:t>,7</w:t>
            </w:r>
            <w:r w:rsidR="00797B79" w:rsidRPr="005B74F9">
              <w:rPr>
                <w:rFonts w:ascii="Gill Sans MT" w:hAnsi="Gill Sans MT"/>
                <w:sz w:val="16"/>
                <w:szCs w:val="16"/>
                <w:lang w:val="fr-CH"/>
              </w:rPr>
              <w:t> </w:t>
            </w:r>
            <w:r w:rsidR="00584129" w:rsidRPr="005B74F9">
              <w:rPr>
                <w:rFonts w:ascii="Gill Sans MT" w:hAnsi="Gill Sans MT"/>
                <w:sz w:val="16"/>
                <w:szCs w:val="16"/>
                <w:lang w:val="fr-CH"/>
              </w:rPr>
              <w:t>%</w:t>
            </w:r>
          </w:p>
        </w:tc>
        <w:tc>
          <w:tcPr>
            <w:tcW w:w="1752" w:type="pct"/>
            <w:vAlign w:val="center"/>
          </w:tcPr>
          <w:p w14:paraId="73563B49" w14:textId="723C0DB3" w:rsidR="00584129" w:rsidRPr="005B74F9" w:rsidRDefault="00584129" w:rsidP="00F61C4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Liechtenstein (3</w:t>
            </w:r>
            <w:r w:rsidR="00404EF3" w:rsidRPr="005B74F9">
              <w:rPr>
                <w:rFonts w:ascii="Gill Sans MT" w:hAnsi="Gill Sans MT"/>
                <w:sz w:val="16"/>
                <w:szCs w:val="16"/>
                <w:lang w:val="fr-CH"/>
              </w:rPr>
              <w:t>8</w:t>
            </w:r>
            <w:r w:rsidRPr="005B74F9">
              <w:rPr>
                <w:rFonts w:ascii="Gill Sans MT" w:hAnsi="Gill Sans MT"/>
                <w:sz w:val="16"/>
                <w:szCs w:val="16"/>
                <w:lang w:val="fr-CH"/>
              </w:rPr>
              <w:t>,</w:t>
            </w:r>
            <w:r w:rsidR="00404EF3" w:rsidRPr="005B74F9">
              <w:rPr>
                <w:rFonts w:ascii="Gill Sans MT" w:hAnsi="Gill Sans MT"/>
                <w:sz w:val="16"/>
                <w:szCs w:val="16"/>
                <w:lang w:val="fr-CH"/>
              </w:rPr>
              <w:t>5</w:t>
            </w:r>
            <w:r w:rsidR="00125125" w:rsidRPr="005B74F9">
              <w:rPr>
                <w:rFonts w:ascii="Gill Sans MT" w:hAnsi="Gill Sans MT"/>
                <w:sz w:val="16"/>
                <w:szCs w:val="16"/>
                <w:lang w:val="fr-CH"/>
              </w:rPr>
              <w:t xml:space="preserve"> %)</w:t>
            </w:r>
            <w:r w:rsidR="00125125" w:rsidRPr="005B74F9">
              <w:rPr>
                <w:rFonts w:ascii="Gill Sans MT" w:hAnsi="Gill Sans MT"/>
                <w:sz w:val="16"/>
                <w:szCs w:val="16"/>
                <w:lang w:val="fr-CH"/>
              </w:rPr>
              <w:br/>
            </w:r>
            <w:r w:rsidR="00EB5787" w:rsidRPr="005B74F9">
              <w:rPr>
                <w:rFonts w:ascii="Gill Sans MT" w:hAnsi="Gill Sans MT"/>
                <w:sz w:val="16"/>
                <w:szCs w:val="16"/>
                <w:lang w:val="fr-CH"/>
              </w:rPr>
              <w:t>Autriche</w:t>
            </w:r>
            <w:r w:rsidR="00125125" w:rsidRPr="005B74F9">
              <w:rPr>
                <w:rFonts w:ascii="Gill Sans MT" w:hAnsi="Gill Sans MT"/>
                <w:sz w:val="16"/>
                <w:szCs w:val="16"/>
                <w:lang w:val="fr-CH"/>
              </w:rPr>
              <w:t xml:space="preserve"> (24</w:t>
            </w:r>
            <w:r w:rsidRPr="005B74F9">
              <w:rPr>
                <w:rFonts w:ascii="Gill Sans MT" w:hAnsi="Gill Sans MT"/>
                <w:sz w:val="16"/>
                <w:szCs w:val="16"/>
                <w:lang w:val="fr-CH"/>
              </w:rPr>
              <w:t>,</w:t>
            </w:r>
            <w:r w:rsidR="00404EF3" w:rsidRPr="005B74F9">
              <w:rPr>
                <w:rFonts w:ascii="Gill Sans MT" w:hAnsi="Gill Sans MT"/>
                <w:sz w:val="16"/>
                <w:szCs w:val="16"/>
                <w:lang w:val="fr-CH"/>
              </w:rPr>
              <w:t>7</w:t>
            </w:r>
            <w:r w:rsidRPr="005B74F9">
              <w:rPr>
                <w:rFonts w:ascii="Gill Sans MT" w:hAnsi="Gill Sans MT"/>
                <w:sz w:val="16"/>
                <w:szCs w:val="16"/>
                <w:lang w:val="fr-CH"/>
              </w:rPr>
              <w:t xml:space="preserve"> %)</w:t>
            </w:r>
          </w:p>
          <w:p w14:paraId="4E2D4A71" w14:textId="3F77054A" w:rsidR="00584129" w:rsidRPr="005B74F9" w:rsidRDefault="002142F8" w:rsidP="00404EF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Est</w:t>
            </w:r>
            <w:r w:rsidR="00EB5787" w:rsidRPr="005B74F9">
              <w:rPr>
                <w:rFonts w:ascii="Gill Sans MT" w:hAnsi="Gill Sans MT"/>
                <w:sz w:val="16"/>
                <w:szCs w:val="16"/>
                <w:lang w:val="fr-CH"/>
              </w:rPr>
              <w:t>onie</w:t>
            </w:r>
            <w:r w:rsidR="00404EF3" w:rsidRPr="005B74F9">
              <w:rPr>
                <w:rFonts w:ascii="Gill Sans MT" w:hAnsi="Gill Sans MT"/>
                <w:sz w:val="16"/>
                <w:szCs w:val="16"/>
                <w:lang w:val="fr-CH"/>
              </w:rPr>
              <w:t xml:space="preserve"> (21</w:t>
            </w:r>
            <w:r w:rsidR="00584129" w:rsidRPr="005B74F9">
              <w:rPr>
                <w:rFonts w:ascii="Gill Sans MT" w:hAnsi="Gill Sans MT"/>
                <w:sz w:val="16"/>
                <w:szCs w:val="16"/>
                <w:lang w:val="fr-CH"/>
              </w:rPr>
              <w:t>,</w:t>
            </w:r>
            <w:r w:rsidR="00404EF3" w:rsidRPr="005B74F9">
              <w:rPr>
                <w:rFonts w:ascii="Gill Sans MT" w:hAnsi="Gill Sans MT"/>
                <w:sz w:val="16"/>
                <w:szCs w:val="16"/>
                <w:lang w:val="fr-CH"/>
              </w:rPr>
              <w:t>6</w:t>
            </w:r>
            <w:r w:rsidR="00584129" w:rsidRPr="005B74F9">
              <w:rPr>
                <w:rFonts w:ascii="Gill Sans MT" w:hAnsi="Gill Sans MT"/>
                <w:sz w:val="16"/>
                <w:szCs w:val="16"/>
                <w:lang w:val="fr-CH"/>
              </w:rPr>
              <w:t xml:space="preserve"> %)</w:t>
            </w:r>
          </w:p>
        </w:tc>
      </w:tr>
      <w:tr w:rsidR="00472118" w:rsidRPr="001539C5" w14:paraId="1085C85B" w14:textId="77777777" w:rsidTr="00215C1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690CB10C" w14:textId="3F8DDB9D" w:rsidR="00584129" w:rsidRPr="005B74F9" w:rsidRDefault="002F0D8C" w:rsidP="00B221D3">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Augmentation de la surface agricole bio</w:t>
            </w:r>
            <w:r w:rsidR="00713D44" w:rsidRPr="005B74F9">
              <w:rPr>
                <w:rFonts w:ascii="Gill Sans MT" w:hAnsi="Gill Sans MT"/>
                <w:b w:val="0"/>
                <w:bCs w:val="0"/>
                <w:sz w:val="16"/>
                <w:szCs w:val="16"/>
                <w:lang w:val="fr-CH"/>
              </w:rPr>
              <w:t xml:space="preserve">logique </w:t>
            </w:r>
            <w:r w:rsidRPr="005B74F9">
              <w:rPr>
                <w:rFonts w:ascii="Gill Sans MT" w:hAnsi="Gill Sans MT"/>
                <w:b w:val="0"/>
                <w:bCs w:val="0"/>
                <w:sz w:val="16"/>
                <w:szCs w:val="16"/>
                <w:lang w:val="fr-CH"/>
              </w:rPr>
              <w:t>de</w:t>
            </w:r>
            <w:r w:rsidR="00713D44" w:rsidRPr="005B74F9">
              <w:rPr>
                <w:rFonts w:ascii="Gill Sans MT" w:hAnsi="Gill Sans MT"/>
                <w:b w:val="0"/>
                <w:bCs w:val="0"/>
                <w:sz w:val="16"/>
                <w:szCs w:val="16"/>
                <w:lang w:val="fr-CH"/>
              </w:rPr>
              <w:t xml:space="preserve"> </w:t>
            </w:r>
            <w:r w:rsidR="00B221D3" w:rsidRPr="005B74F9">
              <w:rPr>
                <w:rFonts w:ascii="Gill Sans MT" w:hAnsi="Gill Sans MT"/>
                <w:b w:val="0"/>
                <w:bCs w:val="0"/>
                <w:sz w:val="16"/>
                <w:szCs w:val="16"/>
                <w:lang w:val="fr-CH"/>
              </w:rPr>
              <w:t>2017</w:t>
            </w:r>
            <w:r w:rsidRPr="005B74F9">
              <w:rPr>
                <w:rFonts w:ascii="Gill Sans MT" w:hAnsi="Gill Sans MT"/>
                <w:b w:val="0"/>
                <w:bCs w:val="0"/>
                <w:sz w:val="16"/>
                <w:szCs w:val="16"/>
                <w:lang w:val="fr-CH"/>
              </w:rPr>
              <w:t xml:space="preserve"> à</w:t>
            </w:r>
            <w:r w:rsidR="00713D44" w:rsidRPr="005B74F9">
              <w:rPr>
                <w:rFonts w:ascii="Gill Sans MT" w:hAnsi="Gill Sans MT"/>
                <w:b w:val="0"/>
                <w:bCs w:val="0"/>
                <w:sz w:val="16"/>
                <w:szCs w:val="16"/>
                <w:lang w:val="fr-CH"/>
              </w:rPr>
              <w:t> </w:t>
            </w:r>
            <w:r w:rsidR="00B221D3" w:rsidRPr="005B74F9">
              <w:rPr>
                <w:rFonts w:ascii="Gill Sans MT" w:hAnsi="Gill Sans MT"/>
                <w:b w:val="0"/>
                <w:bCs w:val="0"/>
                <w:sz w:val="16"/>
                <w:szCs w:val="16"/>
                <w:lang w:val="fr-CH"/>
              </w:rPr>
              <w:t>2018</w:t>
            </w:r>
            <w:r w:rsidR="00B8078A" w:rsidRPr="005B74F9">
              <w:rPr>
                <w:rFonts w:ascii="Gill Sans MT" w:hAnsi="Gill Sans MT"/>
                <w:b w:val="0"/>
                <w:bCs w:val="0"/>
                <w:sz w:val="16"/>
                <w:szCs w:val="16"/>
                <w:lang w:val="fr-CH"/>
              </w:rPr>
              <w:t xml:space="preserve"> </w:t>
            </w:r>
            <w:r w:rsidR="00713D44" w:rsidRPr="005B74F9">
              <w:rPr>
                <w:rFonts w:ascii="Gill Sans MT" w:hAnsi="Gill Sans MT"/>
                <w:b w:val="0"/>
                <w:bCs w:val="0"/>
                <w:sz w:val="16"/>
                <w:szCs w:val="16"/>
                <w:lang w:val="fr-CH"/>
              </w:rPr>
              <w:t>en hectares</w:t>
            </w:r>
          </w:p>
        </w:tc>
        <w:tc>
          <w:tcPr>
            <w:tcW w:w="893" w:type="pct"/>
            <w:vAlign w:val="center"/>
          </w:tcPr>
          <w:p w14:paraId="26F11285" w14:textId="092C6002" w:rsidR="00584129" w:rsidRPr="005B74F9" w:rsidRDefault="004814C4"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1,</w:t>
            </w:r>
            <w:r w:rsidR="0006500E" w:rsidRPr="005B74F9">
              <w:rPr>
                <w:rFonts w:ascii="Gill Sans MT" w:hAnsi="Gill Sans MT"/>
                <w:sz w:val="16"/>
                <w:szCs w:val="16"/>
                <w:lang w:val="fr-CH"/>
              </w:rPr>
              <w:t>25</w:t>
            </w:r>
            <w:r w:rsidR="00125125" w:rsidRPr="005B74F9">
              <w:rPr>
                <w:rFonts w:ascii="Gill Sans MT" w:hAnsi="Gill Sans MT"/>
                <w:sz w:val="16"/>
                <w:szCs w:val="16"/>
                <w:lang w:val="fr-CH"/>
              </w:rPr>
              <w:t xml:space="preserve"> </w:t>
            </w:r>
            <w:r w:rsidR="00797B79" w:rsidRPr="005B74F9">
              <w:rPr>
                <w:rFonts w:ascii="Gill Sans MT" w:hAnsi="Gill Sans MT"/>
                <w:sz w:val="16"/>
                <w:szCs w:val="16"/>
                <w:lang w:val="fr-CH"/>
              </w:rPr>
              <w:t>million</w:t>
            </w:r>
            <w:r w:rsidR="00584129" w:rsidRPr="005B74F9">
              <w:rPr>
                <w:rFonts w:ascii="Gill Sans MT" w:hAnsi="Gill Sans MT"/>
                <w:sz w:val="16"/>
                <w:szCs w:val="16"/>
                <w:lang w:val="fr-CH"/>
              </w:rPr>
              <w:t xml:space="preserve"> ha</w:t>
            </w:r>
          </w:p>
        </w:tc>
        <w:tc>
          <w:tcPr>
            <w:tcW w:w="971" w:type="pct"/>
            <w:vAlign w:val="center"/>
          </w:tcPr>
          <w:p w14:paraId="09604725" w14:textId="6D2206C8" w:rsidR="00584129" w:rsidRPr="005B74F9" w:rsidRDefault="0006500E"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1</w:t>
            </w:r>
            <w:r w:rsidR="00125125" w:rsidRPr="005B74F9">
              <w:rPr>
                <w:rFonts w:ascii="Gill Sans MT" w:hAnsi="Gill Sans MT"/>
                <w:sz w:val="16"/>
                <w:szCs w:val="16"/>
                <w:lang w:val="fr-CH"/>
              </w:rPr>
              <w:t xml:space="preserve"> </w:t>
            </w:r>
            <w:r w:rsidR="00797B79" w:rsidRPr="005B74F9">
              <w:rPr>
                <w:rFonts w:ascii="Gill Sans MT" w:hAnsi="Gill Sans MT"/>
                <w:sz w:val="16"/>
                <w:szCs w:val="16"/>
                <w:lang w:val="fr-CH"/>
              </w:rPr>
              <w:t>million</w:t>
            </w:r>
            <w:r w:rsidR="00584129" w:rsidRPr="005B74F9">
              <w:rPr>
                <w:rFonts w:ascii="Gill Sans MT" w:hAnsi="Gill Sans MT"/>
                <w:sz w:val="16"/>
                <w:szCs w:val="16"/>
                <w:lang w:val="fr-CH"/>
              </w:rPr>
              <w:t xml:space="preserve"> ha</w:t>
            </w:r>
          </w:p>
        </w:tc>
        <w:tc>
          <w:tcPr>
            <w:tcW w:w="1752" w:type="pct"/>
            <w:vAlign w:val="center"/>
          </w:tcPr>
          <w:p w14:paraId="4D960D37" w14:textId="75AFE038" w:rsidR="00584129" w:rsidRPr="00D21A0A" w:rsidRDefault="0006500E" w:rsidP="0006500E">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it-IT"/>
              </w:rPr>
            </w:pPr>
            <w:r w:rsidRPr="00D21A0A">
              <w:rPr>
                <w:rFonts w:ascii="Gill Sans MT" w:hAnsi="Gill Sans MT"/>
                <w:sz w:val="16"/>
                <w:szCs w:val="16"/>
                <w:lang w:val="it-IT"/>
              </w:rPr>
              <w:t>Fran</w:t>
            </w:r>
            <w:r w:rsidR="00EB5787" w:rsidRPr="00D21A0A">
              <w:rPr>
                <w:rFonts w:ascii="Gill Sans MT" w:hAnsi="Gill Sans MT"/>
                <w:sz w:val="16"/>
                <w:szCs w:val="16"/>
                <w:lang w:val="it-IT"/>
              </w:rPr>
              <w:t>ce</w:t>
            </w:r>
            <w:r w:rsidRPr="00D21A0A">
              <w:rPr>
                <w:rFonts w:ascii="Gill Sans MT" w:hAnsi="Gill Sans MT"/>
                <w:sz w:val="16"/>
                <w:szCs w:val="16"/>
                <w:lang w:val="it-IT"/>
              </w:rPr>
              <w:t xml:space="preserve"> (+290'604 ha)</w:t>
            </w:r>
            <w:r w:rsidRPr="00D21A0A">
              <w:rPr>
                <w:rFonts w:ascii="Gill Sans MT" w:hAnsi="Gill Sans MT"/>
                <w:sz w:val="16"/>
                <w:szCs w:val="16"/>
                <w:lang w:val="it-IT"/>
              </w:rPr>
              <w:br/>
            </w:r>
            <w:r w:rsidR="00EB5787" w:rsidRPr="00D21A0A">
              <w:rPr>
                <w:rFonts w:ascii="Gill Sans MT" w:hAnsi="Gill Sans MT"/>
                <w:sz w:val="16"/>
                <w:szCs w:val="16"/>
                <w:lang w:val="it-IT"/>
              </w:rPr>
              <w:t>Espagne</w:t>
            </w:r>
            <w:r w:rsidRPr="00D21A0A">
              <w:rPr>
                <w:rFonts w:ascii="Gill Sans MT" w:hAnsi="Gill Sans MT"/>
                <w:sz w:val="16"/>
                <w:szCs w:val="16"/>
                <w:lang w:val="it-IT"/>
              </w:rPr>
              <w:t xml:space="preserve"> (+164'302 ha) </w:t>
            </w:r>
            <w:r w:rsidRPr="00D21A0A">
              <w:rPr>
                <w:rFonts w:ascii="Gill Sans MT" w:hAnsi="Gill Sans MT"/>
                <w:sz w:val="16"/>
                <w:szCs w:val="16"/>
                <w:lang w:val="it-IT"/>
              </w:rPr>
              <w:br/>
            </w:r>
            <w:r w:rsidR="00EB5787" w:rsidRPr="00D21A0A">
              <w:rPr>
                <w:rFonts w:ascii="Gill Sans MT" w:hAnsi="Gill Sans MT"/>
                <w:sz w:val="16"/>
                <w:szCs w:val="16"/>
                <w:lang w:val="it-IT"/>
              </w:rPr>
              <w:t xml:space="preserve">Allemagne </w:t>
            </w:r>
            <w:r w:rsidRPr="00D21A0A">
              <w:rPr>
                <w:rFonts w:ascii="Gill Sans MT" w:hAnsi="Gill Sans MT"/>
                <w:sz w:val="16"/>
                <w:szCs w:val="16"/>
                <w:lang w:val="it-IT"/>
              </w:rPr>
              <w:t>(+148'157 ha)</w:t>
            </w:r>
          </w:p>
        </w:tc>
      </w:tr>
      <w:tr w:rsidR="00472118" w:rsidRPr="001539C5" w14:paraId="696FC852" w14:textId="77777777" w:rsidTr="00215C15">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77640892" w14:textId="6204AADF" w:rsidR="00584129" w:rsidRPr="005B74F9" w:rsidRDefault="00713D44" w:rsidP="00F61C44">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Augmentation de la surface agricole biologique de </w:t>
            </w:r>
            <w:r w:rsidR="00584129" w:rsidRPr="005B74F9">
              <w:rPr>
                <w:rFonts w:ascii="Gill Sans MT" w:hAnsi="Gill Sans MT"/>
                <w:b w:val="0"/>
                <w:bCs w:val="0"/>
                <w:sz w:val="16"/>
                <w:szCs w:val="16"/>
                <w:lang w:val="fr-CH"/>
              </w:rPr>
              <w:t>201</w:t>
            </w:r>
            <w:r w:rsidR="00B221D3" w:rsidRPr="005B74F9">
              <w:rPr>
                <w:rFonts w:ascii="Gill Sans MT" w:hAnsi="Gill Sans MT"/>
                <w:b w:val="0"/>
                <w:bCs w:val="0"/>
                <w:sz w:val="16"/>
                <w:szCs w:val="16"/>
                <w:lang w:val="fr-CH"/>
              </w:rPr>
              <w:t>7</w:t>
            </w:r>
            <w:r w:rsidRPr="005B74F9">
              <w:rPr>
                <w:rFonts w:ascii="Gill Sans MT" w:hAnsi="Gill Sans MT"/>
                <w:b w:val="0"/>
                <w:bCs w:val="0"/>
                <w:sz w:val="16"/>
                <w:szCs w:val="16"/>
                <w:lang w:val="fr-CH"/>
              </w:rPr>
              <w:t xml:space="preserve"> à </w:t>
            </w:r>
            <w:r w:rsidR="00584129" w:rsidRPr="005B74F9">
              <w:rPr>
                <w:rFonts w:ascii="Gill Sans MT" w:hAnsi="Gill Sans MT"/>
                <w:b w:val="0"/>
                <w:bCs w:val="0"/>
                <w:sz w:val="16"/>
                <w:szCs w:val="16"/>
                <w:lang w:val="fr-CH"/>
              </w:rPr>
              <w:t>201</w:t>
            </w:r>
            <w:r w:rsidR="00B221D3" w:rsidRPr="005B74F9">
              <w:rPr>
                <w:rFonts w:ascii="Gill Sans MT" w:hAnsi="Gill Sans MT"/>
                <w:b w:val="0"/>
                <w:bCs w:val="0"/>
                <w:sz w:val="16"/>
                <w:szCs w:val="16"/>
                <w:lang w:val="fr-CH"/>
              </w:rPr>
              <w:t>8</w:t>
            </w:r>
            <w:r w:rsidR="00584129" w:rsidRPr="005B74F9">
              <w:rPr>
                <w:rFonts w:ascii="Gill Sans MT" w:hAnsi="Gill Sans MT"/>
                <w:b w:val="0"/>
                <w:bCs w:val="0"/>
                <w:sz w:val="16"/>
                <w:szCs w:val="16"/>
                <w:lang w:val="fr-CH"/>
              </w:rPr>
              <w:t xml:space="preserve"> </w:t>
            </w:r>
            <w:r w:rsidR="002F0D8C" w:rsidRPr="005B74F9">
              <w:rPr>
                <w:rFonts w:ascii="Gill Sans MT" w:hAnsi="Gill Sans MT"/>
                <w:b w:val="0"/>
                <w:bCs w:val="0"/>
                <w:sz w:val="16"/>
                <w:szCs w:val="16"/>
                <w:lang w:val="fr-CH"/>
              </w:rPr>
              <w:t>en pourcentage</w:t>
            </w:r>
          </w:p>
        </w:tc>
        <w:tc>
          <w:tcPr>
            <w:tcW w:w="893" w:type="pct"/>
            <w:vAlign w:val="center"/>
          </w:tcPr>
          <w:p w14:paraId="53A9CE1C" w14:textId="1EE4A3F4" w:rsidR="00584129" w:rsidRPr="005B74F9" w:rsidRDefault="0006500E"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8,7</w:t>
            </w:r>
            <w:r w:rsidR="00797B79" w:rsidRPr="005B74F9">
              <w:rPr>
                <w:rFonts w:ascii="Gill Sans MT" w:hAnsi="Gill Sans MT"/>
                <w:sz w:val="16"/>
                <w:szCs w:val="16"/>
                <w:lang w:val="fr-CH"/>
              </w:rPr>
              <w:t> </w:t>
            </w:r>
            <w:r w:rsidR="00584129" w:rsidRPr="005B74F9">
              <w:rPr>
                <w:rFonts w:ascii="Gill Sans MT" w:hAnsi="Gill Sans MT"/>
                <w:sz w:val="16"/>
                <w:szCs w:val="16"/>
                <w:lang w:val="fr-CH"/>
              </w:rPr>
              <w:t>%</w:t>
            </w:r>
          </w:p>
        </w:tc>
        <w:tc>
          <w:tcPr>
            <w:tcW w:w="971" w:type="pct"/>
            <w:vAlign w:val="center"/>
          </w:tcPr>
          <w:p w14:paraId="3454F8CA" w14:textId="7BB56858" w:rsidR="00584129" w:rsidRPr="005B74F9" w:rsidRDefault="0006500E" w:rsidP="0006500E">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7</w:t>
            </w:r>
            <w:r w:rsidR="00125125" w:rsidRPr="005B74F9">
              <w:rPr>
                <w:rFonts w:ascii="Gill Sans MT" w:hAnsi="Gill Sans MT"/>
                <w:sz w:val="16"/>
                <w:szCs w:val="16"/>
                <w:lang w:val="fr-CH"/>
              </w:rPr>
              <w:t>,</w:t>
            </w:r>
            <w:r w:rsidRPr="005B74F9">
              <w:rPr>
                <w:rFonts w:ascii="Gill Sans MT" w:hAnsi="Gill Sans MT"/>
                <w:sz w:val="16"/>
                <w:szCs w:val="16"/>
                <w:lang w:val="fr-CH"/>
              </w:rPr>
              <w:t>6</w:t>
            </w:r>
            <w:r w:rsidR="00797B79" w:rsidRPr="005B74F9">
              <w:rPr>
                <w:rFonts w:ascii="Gill Sans MT" w:hAnsi="Gill Sans MT"/>
                <w:sz w:val="16"/>
                <w:szCs w:val="16"/>
                <w:lang w:val="fr-CH"/>
              </w:rPr>
              <w:t> </w:t>
            </w:r>
            <w:r w:rsidR="003F7D09" w:rsidRPr="005B74F9">
              <w:rPr>
                <w:rFonts w:ascii="Gill Sans MT" w:hAnsi="Gill Sans MT"/>
                <w:sz w:val="16"/>
                <w:szCs w:val="16"/>
                <w:lang w:val="fr-CH"/>
              </w:rPr>
              <w:t>%</w:t>
            </w:r>
            <w:r w:rsidR="00584129" w:rsidRPr="005B74F9">
              <w:rPr>
                <w:rFonts w:ascii="Gill Sans MT" w:hAnsi="Gill Sans MT"/>
                <w:sz w:val="16"/>
                <w:szCs w:val="16"/>
                <w:lang w:val="fr-CH"/>
              </w:rPr>
              <w:t xml:space="preserve"> </w:t>
            </w:r>
          </w:p>
        </w:tc>
        <w:tc>
          <w:tcPr>
            <w:tcW w:w="1752" w:type="pct"/>
            <w:vAlign w:val="center"/>
          </w:tcPr>
          <w:p w14:paraId="3AD93772" w14:textId="6CD4D153" w:rsidR="0006500E" w:rsidRPr="005B74F9" w:rsidRDefault="0006500E" w:rsidP="0006500E">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Mont</w:t>
            </w:r>
            <w:r w:rsidR="008D33E5" w:rsidRPr="005B74F9">
              <w:rPr>
                <w:rFonts w:ascii="Gill Sans MT" w:hAnsi="Gill Sans MT"/>
                <w:sz w:val="16"/>
                <w:szCs w:val="16"/>
                <w:lang w:val="fr-CH"/>
              </w:rPr>
              <w:t>é</w:t>
            </w:r>
            <w:r w:rsidRPr="005B74F9">
              <w:rPr>
                <w:rFonts w:ascii="Gill Sans MT" w:hAnsi="Gill Sans MT"/>
                <w:sz w:val="16"/>
                <w:szCs w:val="16"/>
                <w:lang w:val="fr-CH"/>
              </w:rPr>
              <w:t>n</w:t>
            </w:r>
            <w:r w:rsidR="008D33E5" w:rsidRPr="005B74F9">
              <w:rPr>
                <w:rFonts w:ascii="Gill Sans MT" w:hAnsi="Gill Sans MT"/>
                <w:sz w:val="16"/>
                <w:szCs w:val="16"/>
                <w:lang w:val="fr-CH"/>
              </w:rPr>
              <w:t>é</w:t>
            </w:r>
            <w:r w:rsidRPr="005B74F9">
              <w:rPr>
                <w:rFonts w:ascii="Gill Sans MT" w:hAnsi="Gill Sans MT"/>
                <w:sz w:val="16"/>
                <w:szCs w:val="16"/>
                <w:lang w:val="fr-CH"/>
              </w:rPr>
              <w:t>gro (+64</w:t>
            </w:r>
            <w:r w:rsidR="00797B79" w:rsidRPr="005B74F9">
              <w:rPr>
                <w:rFonts w:ascii="Gill Sans MT" w:hAnsi="Gill Sans MT"/>
                <w:sz w:val="16"/>
                <w:szCs w:val="16"/>
                <w:lang w:val="fr-CH"/>
              </w:rPr>
              <w:t> </w:t>
            </w:r>
            <w:r w:rsidRPr="005B74F9">
              <w:rPr>
                <w:rFonts w:ascii="Gill Sans MT" w:hAnsi="Gill Sans MT"/>
                <w:sz w:val="16"/>
                <w:szCs w:val="16"/>
                <w:lang w:val="fr-CH"/>
              </w:rPr>
              <w:t>%)</w:t>
            </w:r>
          </w:p>
          <w:p w14:paraId="3A30F6FE" w14:textId="5EF97680" w:rsidR="0006500E" w:rsidRPr="005B74F9" w:rsidRDefault="008D33E5" w:rsidP="0006500E">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 xml:space="preserve">Irlande </w:t>
            </w:r>
            <w:r w:rsidR="0006500E" w:rsidRPr="005B74F9">
              <w:rPr>
                <w:rFonts w:ascii="Gill Sans MT" w:hAnsi="Gill Sans MT"/>
                <w:sz w:val="16"/>
                <w:szCs w:val="16"/>
                <w:lang w:val="fr-CH"/>
              </w:rPr>
              <w:t>(+60</w:t>
            </w:r>
            <w:r w:rsidR="00797B79" w:rsidRPr="005B74F9">
              <w:rPr>
                <w:rFonts w:ascii="Gill Sans MT" w:hAnsi="Gill Sans MT"/>
                <w:sz w:val="16"/>
                <w:szCs w:val="16"/>
                <w:lang w:val="fr-CH"/>
              </w:rPr>
              <w:t> </w:t>
            </w:r>
            <w:r w:rsidR="0006500E" w:rsidRPr="005B74F9">
              <w:rPr>
                <w:rFonts w:ascii="Gill Sans MT" w:hAnsi="Gill Sans MT"/>
                <w:sz w:val="16"/>
                <w:szCs w:val="16"/>
                <w:lang w:val="fr-CH"/>
              </w:rPr>
              <w:t>%)</w:t>
            </w:r>
          </w:p>
          <w:p w14:paraId="03803B4E" w14:textId="226C2693" w:rsidR="00584129" w:rsidRPr="005B74F9" w:rsidRDefault="008D33E5" w:rsidP="0006500E">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Macédoine du Nord</w:t>
            </w:r>
            <w:r w:rsidR="0006500E" w:rsidRPr="005B74F9">
              <w:rPr>
                <w:rFonts w:ascii="Gill Sans MT" w:hAnsi="Gill Sans MT"/>
                <w:sz w:val="16"/>
                <w:szCs w:val="16"/>
                <w:lang w:val="fr-CH"/>
              </w:rPr>
              <w:t xml:space="preserve"> (+52</w:t>
            </w:r>
            <w:r w:rsidR="00797B79" w:rsidRPr="005B74F9">
              <w:rPr>
                <w:rFonts w:ascii="Gill Sans MT" w:hAnsi="Gill Sans MT"/>
                <w:sz w:val="16"/>
                <w:szCs w:val="16"/>
                <w:lang w:val="fr-CH"/>
              </w:rPr>
              <w:t> </w:t>
            </w:r>
            <w:r w:rsidR="0006500E" w:rsidRPr="005B74F9">
              <w:rPr>
                <w:rFonts w:ascii="Gill Sans MT" w:hAnsi="Gill Sans MT"/>
                <w:sz w:val="16"/>
                <w:szCs w:val="16"/>
                <w:lang w:val="fr-CH"/>
              </w:rPr>
              <w:t>%)</w:t>
            </w:r>
          </w:p>
        </w:tc>
      </w:tr>
      <w:tr w:rsidR="00472118" w:rsidRPr="00D21A0A" w14:paraId="1C4E2FEA" w14:textId="77777777" w:rsidTr="00215C1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0064D958" w14:textId="31188DDA" w:rsidR="00584129" w:rsidRPr="005B74F9" w:rsidRDefault="00B81388" w:rsidP="00F61C44">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Surface de cueillette sauvage en hectares</w:t>
            </w:r>
          </w:p>
        </w:tc>
        <w:tc>
          <w:tcPr>
            <w:tcW w:w="893" w:type="pct"/>
            <w:vAlign w:val="center"/>
          </w:tcPr>
          <w:p w14:paraId="37F2B97F" w14:textId="778539E3" w:rsidR="00584129" w:rsidRPr="005B74F9" w:rsidRDefault="007A672B"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17,2</w:t>
            </w:r>
            <w:r w:rsidR="00584129" w:rsidRPr="005B74F9">
              <w:rPr>
                <w:rFonts w:ascii="Gill Sans MT" w:hAnsi="Gill Sans MT"/>
                <w:sz w:val="16"/>
                <w:szCs w:val="16"/>
                <w:lang w:val="fr-CH"/>
              </w:rPr>
              <w:t xml:space="preserve"> </w:t>
            </w:r>
            <w:r w:rsidR="00797B79" w:rsidRPr="005B74F9">
              <w:rPr>
                <w:rFonts w:ascii="Gill Sans MT" w:hAnsi="Gill Sans MT"/>
                <w:sz w:val="16"/>
                <w:szCs w:val="16"/>
                <w:lang w:val="fr-CH"/>
              </w:rPr>
              <w:t>m</w:t>
            </w:r>
            <w:r w:rsidR="00584129" w:rsidRPr="005B74F9">
              <w:rPr>
                <w:rFonts w:ascii="Gill Sans MT" w:hAnsi="Gill Sans MT"/>
                <w:sz w:val="16"/>
                <w:szCs w:val="16"/>
                <w:lang w:val="fr-CH"/>
              </w:rPr>
              <w:t>illion</w:t>
            </w:r>
            <w:r w:rsidR="00797B79" w:rsidRPr="005B74F9">
              <w:rPr>
                <w:rFonts w:ascii="Gill Sans MT" w:hAnsi="Gill Sans MT"/>
                <w:sz w:val="16"/>
                <w:szCs w:val="16"/>
                <w:lang w:val="fr-CH"/>
              </w:rPr>
              <w:t>s</w:t>
            </w:r>
            <w:r w:rsidR="00584129" w:rsidRPr="005B74F9">
              <w:rPr>
                <w:rFonts w:ascii="Gill Sans MT" w:hAnsi="Gill Sans MT"/>
                <w:sz w:val="16"/>
                <w:szCs w:val="16"/>
                <w:lang w:val="fr-CH"/>
              </w:rPr>
              <w:t xml:space="preserve"> ha</w:t>
            </w:r>
          </w:p>
        </w:tc>
        <w:tc>
          <w:tcPr>
            <w:tcW w:w="971" w:type="pct"/>
            <w:vAlign w:val="center"/>
          </w:tcPr>
          <w:p w14:paraId="75C2FD46" w14:textId="79561870" w:rsidR="00584129" w:rsidRPr="005B74F9" w:rsidRDefault="00584129" w:rsidP="007A672B">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1</w:t>
            </w:r>
            <w:r w:rsidR="007A672B" w:rsidRPr="005B74F9">
              <w:rPr>
                <w:rFonts w:ascii="Gill Sans MT" w:hAnsi="Gill Sans MT"/>
                <w:sz w:val="16"/>
                <w:szCs w:val="16"/>
                <w:lang w:val="fr-CH"/>
              </w:rPr>
              <w:t>3</w:t>
            </w:r>
            <w:r w:rsidRPr="005B74F9">
              <w:rPr>
                <w:rFonts w:ascii="Gill Sans MT" w:hAnsi="Gill Sans MT"/>
                <w:sz w:val="16"/>
                <w:szCs w:val="16"/>
                <w:lang w:val="fr-CH"/>
              </w:rPr>
              <w:t>,</w:t>
            </w:r>
            <w:r w:rsidR="007A672B" w:rsidRPr="005B74F9">
              <w:rPr>
                <w:rFonts w:ascii="Gill Sans MT" w:hAnsi="Gill Sans MT"/>
                <w:sz w:val="16"/>
                <w:szCs w:val="16"/>
                <w:lang w:val="fr-CH"/>
              </w:rPr>
              <w:t>9</w:t>
            </w:r>
            <w:r w:rsidRPr="005B74F9">
              <w:rPr>
                <w:rFonts w:ascii="Gill Sans MT" w:hAnsi="Gill Sans MT"/>
                <w:sz w:val="16"/>
                <w:szCs w:val="16"/>
                <w:lang w:val="fr-CH"/>
              </w:rPr>
              <w:t xml:space="preserve"> </w:t>
            </w:r>
            <w:r w:rsidR="00797B79" w:rsidRPr="005B74F9">
              <w:rPr>
                <w:rFonts w:ascii="Gill Sans MT" w:hAnsi="Gill Sans MT"/>
                <w:sz w:val="16"/>
                <w:szCs w:val="16"/>
                <w:lang w:val="fr-CH"/>
              </w:rPr>
              <w:t>m</w:t>
            </w:r>
            <w:r w:rsidRPr="005B74F9">
              <w:rPr>
                <w:rFonts w:ascii="Gill Sans MT" w:hAnsi="Gill Sans MT"/>
                <w:sz w:val="16"/>
                <w:szCs w:val="16"/>
                <w:lang w:val="fr-CH"/>
              </w:rPr>
              <w:t>illion</w:t>
            </w:r>
            <w:r w:rsidR="00797B79" w:rsidRPr="005B74F9">
              <w:rPr>
                <w:rFonts w:ascii="Gill Sans MT" w:hAnsi="Gill Sans MT"/>
                <w:sz w:val="16"/>
                <w:szCs w:val="16"/>
                <w:lang w:val="fr-CH"/>
              </w:rPr>
              <w:t>s</w:t>
            </w:r>
            <w:r w:rsidRPr="005B74F9">
              <w:rPr>
                <w:rFonts w:ascii="Gill Sans MT" w:hAnsi="Gill Sans MT"/>
                <w:sz w:val="16"/>
                <w:szCs w:val="16"/>
                <w:lang w:val="fr-CH"/>
              </w:rPr>
              <w:t xml:space="preserve"> ha</w:t>
            </w:r>
          </w:p>
        </w:tc>
        <w:tc>
          <w:tcPr>
            <w:tcW w:w="1752" w:type="pct"/>
            <w:vAlign w:val="center"/>
          </w:tcPr>
          <w:p w14:paraId="547B613C" w14:textId="025AFC94" w:rsidR="00584129" w:rsidRPr="00D21A0A" w:rsidRDefault="00584129" w:rsidP="00DD3850">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it-IT"/>
              </w:rPr>
            </w:pPr>
            <w:r w:rsidRPr="00D21A0A">
              <w:rPr>
                <w:rFonts w:ascii="Gill Sans MT" w:hAnsi="Gill Sans MT"/>
                <w:sz w:val="16"/>
                <w:szCs w:val="16"/>
                <w:lang w:val="it-IT"/>
              </w:rPr>
              <w:t>Fin</w:t>
            </w:r>
            <w:r w:rsidR="008D33E5" w:rsidRPr="00D21A0A">
              <w:rPr>
                <w:rFonts w:ascii="Gill Sans MT" w:hAnsi="Gill Sans MT"/>
                <w:sz w:val="16"/>
                <w:szCs w:val="16"/>
                <w:lang w:val="it-IT"/>
              </w:rPr>
              <w:t>lande</w:t>
            </w:r>
            <w:r w:rsidRPr="00D21A0A">
              <w:rPr>
                <w:rFonts w:ascii="Gill Sans MT" w:hAnsi="Gill Sans MT"/>
                <w:sz w:val="16"/>
                <w:szCs w:val="16"/>
                <w:lang w:val="it-IT"/>
              </w:rPr>
              <w:t xml:space="preserve"> (1</w:t>
            </w:r>
            <w:r w:rsidR="00DD3850" w:rsidRPr="00D21A0A">
              <w:rPr>
                <w:rFonts w:ascii="Gill Sans MT" w:hAnsi="Gill Sans MT"/>
                <w:sz w:val="16"/>
                <w:szCs w:val="16"/>
                <w:lang w:val="it-IT"/>
              </w:rPr>
              <w:t>1,2</w:t>
            </w:r>
            <w:r w:rsidRPr="00D21A0A">
              <w:rPr>
                <w:rFonts w:ascii="Gill Sans MT" w:hAnsi="Gill Sans MT"/>
                <w:sz w:val="16"/>
                <w:szCs w:val="16"/>
                <w:lang w:val="it-IT"/>
              </w:rPr>
              <w:t xml:space="preserve"> </w:t>
            </w:r>
            <w:r w:rsidR="008D33E5" w:rsidRPr="00D21A0A">
              <w:rPr>
                <w:rFonts w:ascii="Gill Sans MT" w:hAnsi="Gill Sans MT"/>
                <w:sz w:val="16"/>
                <w:szCs w:val="16"/>
                <w:lang w:val="it-IT"/>
              </w:rPr>
              <w:t>m</w:t>
            </w:r>
            <w:r w:rsidRPr="00D21A0A">
              <w:rPr>
                <w:rFonts w:ascii="Gill Sans MT" w:hAnsi="Gill Sans MT"/>
                <w:sz w:val="16"/>
                <w:szCs w:val="16"/>
                <w:lang w:val="it-IT"/>
              </w:rPr>
              <w:t>illion</w:t>
            </w:r>
            <w:r w:rsidR="008D33E5" w:rsidRPr="00D21A0A">
              <w:rPr>
                <w:rFonts w:ascii="Gill Sans MT" w:hAnsi="Gill Sans MT"/>
                <w:sz w:val="16"/>
                <w:szCs w:val="16"/>
                <w:lang w:val="it-IT"/>
              </w:rPr>
              <w:t>s</w:t>
            </w:r>
            <w:r w:rsidRPr="00D21A0A">
              <w:rPr>
                <w:rFonts w:ascii="Gill Sans MT" w:hAnsi="Gill Sans MT"/>
                <w:sz w:val="16"/>
                <w:szCs w:val="16"/>
                <w:lang w:val="it-IT"/>
              </w:rPr>
              <w:t xml:space="preserve"> ha)</w:t>
            </w:r>
            <w:r w:rsidRPr="00D21A0A">
              <w:rPr>
                <w:rFonts w:ascii="Gill Sans MT" w:hAnsi="Gill Sans MT"/>
                <w:sz w:val="16"/>
                <w:szCs w:val="16"/>
                <w:lang w:val="it-IT"/>
              </w:rPr>
              <w:br/>
              <w:t>R</w:t>
            </w:r>
            <w:r w:rsidR="008D33E5" w:rsidRPr="00D21A0A">
              <w:rPr>
                <w:rFonts w:ascii="Gill Sans MT" w:hAnsi="Gill Sans MT"/>
                <w:sz w:val="16"/>
                <w:szCs w:val="16"/>
                <w:lang w:val="it-IT"/>
              </w:rPr>
              <w:t>oumanie</w:t>
            </w:r>
            <w:r w:rsidRPr="00D21A0A">
              <w:rPr>
                <w:rFonts w:ascii="Gill Sans MT" w:hAnsi="Gill Sans MT"/>
                <w:sz w:val="16"/>
                <w:szCs w:val="16"/>
                <w:lang w:val="it-IT"/>
              </w:rPr>
              <w:t xml:space="preserve"> (1,8 </w:t>
            </w:r>
            <w:r w:rsidR="008D33E5" w:rsidRPr="00D21A0A">
              <w:rPr>
                <w:rFonts w:ascii="Gill Sans MT" w:hAnsi="Gill Sans MT"/>
                <w:sz w:val="16"/>
                <w:szCs w:val="16"/>
                <w:lang w:val="it-IT"/>
              </w:rPr>
              <w:t>m</w:t>
            </w:r>
            <w:r w:rsidRPr="00D21A0A">
              <w:rPr>
                <w:rFonts w:ascii="Gill Sans MT" w:hAnsi="Gill Sans MT"/>
                <w:sz w:val="16"/>
                <w:szCs w:val="16"/>
                <w:lang w:val="it-IT"/>
              </w:rPr>
              <w:t>illion ha; 2014)</w:t>
            </w:r>
            <w:r w:rsidRPr="00D21A0A">
              <w:rPr>
                <w:rFonts w:ascii="Gill Sans MT" w:hAnsi="Gill Sans MT"/>
                <w:sz w:val="16"/>
                <w:szCs w:val="16"/>
                <w:lang w:val="it-IT"/>
              </w:rPr>
              <w:br/>
            </w:r>
            <w:r w:rsidR="00DD3850" w:rsidRPr="00D21A0A">
              <w:rPr>
                <w:rFonts w:ascii="Gill Sans MT" w:hAnsi="Gill Sans MT"/>
                <w:sz w:val="16"/>
                <w:szCs w:val="16"/>
                <w:lang w:val="it-IT"/>
              </w:rPr>
              <w:t>Albanie</w:t>
            </w:r>
            <w:r w:rsidR="00125125" w:rsidRPr="00D21A0A">
              <w:rPr>
                <w:rFonts w:ascii="Gill Sans MT" w:hAnsi="Gill Sans MT"/>
                <w:sz w:val="16"/>
                <w:szCs w:val="16"/>
                <w:lang w:val="it-IT"/>
              </w:rPr>
              <w:t xml:space="preserve"> (</w:t>
            </w:r>
            <w:r w:rsidR="00DD3850" w:rsidRPr="00D21A0A">
              <w:rPr>
                <w:rFonts w:ascii="Gill Sans MT" w:hAnsi="Gill Sans MT"/>
                <w:sz w:val="16"/>
                <w:szCs w:val="16"/>
                <w:lang w:val="it-IT"/>
              </w:rPr>
              <w:t>0,6</w:t>
            </w:r>
            <w:r w:rsidRPr="00D21A0A">
              <w:rPr>
                <w:rFonts w:ascii="Gill Sans MT" w:hAnsi="Gill Sans MT"/>
                <w:sz w:val="16"/>
                <w:szCs w:val="16"/>
                <w:lang w:val="it-IT"/>
              </w:rPr>
              <w:t xml:space="preserve"> </w:t>
            </w:r>
            <w:r w:rsidR="008D33E5" w:rsidRPr="00D21A0A">
              <w:rPr>
                <w:rFonts w:ascii="Gill Sans MT" w:hAnsi="Gill Sans MT"/>
                <w:sz w:val="16"/>
                <w:szCs w:val="16"/>
                <w:lang w:val="it-IT"/>
              </w:rPr>
              <w:t>million</w:t>
            </w:r>
            <w:r w:rsidRPr="00D21A0A">
              <w:rPr>
                <w:rFonts w:ascii="Gill Sans MT" w:hAnsi="Gill Sans MT"/>
                <w:sz w:val="16"/>
                <w:szCs w:val="16"/>
                <w:lang w:val="it-IT"/>
              </w:rPr>
              <w:t xml:space="preserve"> ha)</w:t>
            </w:r>
          </w:p>
        </w:tc>
      </w:tr>
      <w:tr w:rsidR="00215C15" w:rsidRPr="005B74F9" w14:paraId="32444FBE" w14:textId="77777777" w:rsidTr="00215C15">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7E90D3CF" w14:textId="38706CD4" w:rsidR="00215C15" w:rsidRPr="005B74F9" w:rsidRDefault="00215C15" w:rsidP="00215C15">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Produ</w:t>
            </w:r>
            <w:r w:rsidR="000A29B4" w:rsidRPr="005B74F9">
              <w:rPr>
                <w:rFonts w:ascii="Gill Sans MT" w:hAnsi="Gill Sans MT"/>
                <w:b w:val="0"/>
                <w:bCs w:val="0"/>
                <w:sz w:val="16"/>
                <w:szCs w:val="16"/>
                <w:lang w:val="fr-CH"/>
              </w:rPr>
              <w:t>cteurs</w:t>
            </w:r>
          </w:p>
        </w:tc>
        <w:tc>
          <w:tcPr>
            <w:tcW w:w="893" w:type="pct"/>
            <w:vAlign w:val="center"/>
          </w:tcPr>
          <w:p w14:paraId="151AA80F" w14:textId="77777777" w:rsidR="00215C15" w:rsidRPr="005B74F9" w:rsidRDefault="00215C15" w:rsidP="00215C15">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418'610</w:t>
            </w:r>
          </w:p>
        </w:tc>
        <w:tc>
          <w:tcPr>
            <w:tcW w:w="971" w:type="pct"/>
            <w:vAlign w:val="center"/>
          </w:tcPr>
          <w:p w14:paraId="3AAE04AB" w14:textId="77777777" w:rsidR="00215C15" w:rsidRPr="005B74F9" w:rsidRDefault="00215C15" w:rsidP="00215C15">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327'222</w:t>
            </w:r>
          </w:p>
        </w:tc>
        <w:tc>
          <w:tcPr>
            <w:tcW w:w="1752" w:type="pct"/>
            <w:vAlign w:val="center"/>
          </w:tcPr>
          <w:p w14:paraId="40F5D6F5" w14:textId="1056ED0F" w:rsidR="00215C15" w:rsidRPr="005B74F9" w:rsidRDefault="00215C15" w:rsidP="00215C15">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T</w:t>
            </w:r>
            <w:r w:rsidR="008D33E5" w:rsidRPr="005B74F9">
              <w:rPr>
                <w:rFonts w:ascii="Gill Sans MT" w:hAnsi="Gill Sans MT"/>
                <w:sz w:val="16"/>
                <w:szCs w:val="16"/>
                <w:lang w:val="fr-CH"/>
              </w:rPr>
              <w:t>urquie</w:t>
            </w:r>
            <w:r w:rsidRPr="005B74F9">
              <w:rPr>
                <w:rFonts w:ascii="Gill Sans MT" w:hAnsi="Gill Sans MT"/>
                <w:sz w:val="16"/>
                <w:szCs w:val="16"/>
                <w:lang w:val="fr-CH"/>
              </w:rPr>
              <w:t xml:space="preserve"> (79'563)</w:t>
            </w:r>
            <w:r w:rsidRPr="005B74F9">
              <w:rPr>
                <w:rFonts w:ascii="Gill Sans MT" w:hAnsi="Gill Sans MT"/>
                <w:sz w:val="16"/>
                <w:szCs w:val="16"/>
                <w:lang w:val="fr-CH"/>
              </w:rPr>
              <w:br/>
              <w:t>Italie (69‘317)</w:t>
            </w:r>
            <w:r w:rsidRPr="005B74F9">
              <w:rPr>
                <w:rFonts w:ascii="Gill Sans MT" w:hAnsi="Gill Sans MT"/>
                <w:sz w:val="16"/>
                <w:szCs w:val="16"/>
                <w:lang w:val="fr-CH"/>
              </w:rPr>
              <w:br/>
              <w:t>Fran</w:t>
            </w:r>
            <w:r w:rsidR="008D33E5" w:rsidRPr="005B74F9">
              <w:rPr>
                <w:rFonts w:ascii="Gill Sans MT" w:hAnsi="Gill Sans MT"/>
                <w:sz w:val="16"/>
                <w:szCs w:val="16"/>
                <w:lang w:val="fr-CH"/>
              </w:rPr>
              <w:t>ce</w:t>
            </w:r>
            <w:r w:rsidRPr="005B74F9">
              <w:rPr>
                <w:rFonts w:ascii="Gill Sans MT" w:hAnsi="Gill Sans MT"/>
                <w:sz w:val="16"/>
                <w:szCs w:val="16"/>
                <w:lang w:val="fr-CH"/>
              </w:rPr>
              <w:t xml:space="preserve"> (41‘632)</w:t>
            </w:r>
          </w:p>
        </w:tc>
      </w:tr>
      <w:tr w:rsidR="00215C15" w:rsidRPr="001539C5" w14:paraId="67900E17" w14:textId="77777777" w:rsidTr="00215C1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01B40498" w14:textId="21C16C16" w:rsidR="00215C15" w:rsidRPr="005B74F9" w:rsidRDefault="000A29B4" w:rsidP="00215C15">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Transformateurs</w:t>
            </w:r>
          </w:p>
        </w:tc>
        <w:tc>
          <w:tcPr>
            <w:tcW w:w="893" w:type="pct"/>
            <w:vAlign w:val="center"/>
          </w:tcPr>
          <w:p w14:paraId="7220E327" w14:textId="77777777" w:rsidR="00215C15" w:rsidRPr="005B74F9" w:rsidRDefault="00215C15" w:rsidP="00215C15">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75'569</w:t>
            </w:r>
          </w:p>
        </w:tc>
        <w:tc>
          <w:tcPr>
            <w:tcW w:w="971" w:type="pct"/>
            <w:vAlign w:val="center"/>
          </w:tcPr>
          <w:p w14:paraId="72B74840" w14:textId="77777777" w:rsidR="00215C15" w:rsidRPr="005B74F9" w:rsidRDefault="00215C15" w:rsidP="00215C15">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71'960</w:t>
            </w:r>
          </w:p>
        </w:tc>
        <w:tc>
          <w:tcPr>
            <w:tcW w:w="1752" w:type="pct"/>
            <w:vAlign w:val="center"/>
          </w:tcPr>
          <w:p w14:paraId="7C5BC48B" w14:textId="5EF1DDA5" w:rsidR="00215C15" w:rsidRPr="005B74F9" w:rsidRDefault="00215C15" w:rsidP="00215C15">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Italie (20'087)</w:t>
            </w:r>
            <w:r w:rsidRPr="005B74F9">
              <w:rPr>
                <w:rFonts w:ascii="Gill Sans MT" w:hAnsi="Gill Sans MT"/>
                <w:sz w:val="16"/>
                <w:szCs w:val="16"/>
                <w:lang w:val="fr-CH"/>
              </w:rPr>
              <w:br/>
              <w:t>Fran</w:t>
            </w:r>
            <w:r w:rsidR="008D33E5" w:rsidRPr="005B74F9">
              <w:rPr>
                <w:rFonts w:ascii="Gill Sans MT" w:hAnsi="Gill Sans MT"/>
                <w:sz w:val="16"/>
                <w:szCs w:val="16"/>
                <w:lang w:val="fr-CH"/>
              </w:rPr>
              <w:t>ce</w:t>
            </w:r>
            <w:r w:rsidRPr="005B74F9">
              <w:rPr>
                <w:rFonts w:ascii="Gill Sans MT" w:hAnsi="Gill Sans MT"/>
                <w:sz w:val="16"/>
                <w:szCs w:val="16"/>
                <w:lang w:val="fr-CH"/>
              </w:rPr>
              <w:t xml:space="preserve"> (16'651)</w:t>
            </w:r>
            <w:r w:rsidRPr="005B74F9">
              <w:rPr>
                <w:rFonts w:ascii="Gill Sans MT" w:hAnsi="Gill Sans MT"/>
                <w:sz w:val="16"/>
                <w:szCs w:val="16"/>
                <w:lang w:val="fr-CH"/>
              </w:rPr>
              <w:br/>
            </w:r>
            <w:r w:rsidR="008D33E5" w:rsidRPr="005B74F9">
              <w:rPr>
                <w:rFonts w:ascii="Gill Sans MT" w:hAnsi="Gill Sans MT"/>
                <w:sz w:val="16"/>
                <w:szCs w:val="16"/>
                <w:lang w:val="fr-CH"/>
              </w:rPr>
              <w:t>Allemagne</w:t>
            </w:r>
            <w:r w:rsidRPr="005B74F9">
              <w:rPr>
                <w:rFonts w:ascii="Gill Sans MT" w:hAnsi="Gill Sans MT"/>
                <w:sz w:val="16"/>
                <w:szCs w:val="16"/>
                <w:lang w:val="fr-CH"/>
              </w:rPr>
              <w:t xml:space="preserve"> (15'441)</w:t>
            </w:r>
          </w:p>
        </w:tc>
      </w:tr>
      <w:tr w:rsidR="00215C15" w:rsidRPr="005B74F9" w14:paraId="4D7709A5" w14:textId="77777777" w:rsidTr="00215C15">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1C798377" w14:textId="22E3DEFE" w:rsidR="00215C15" w:rsidRPr="005B74F9" w:rsidRDefault="00215C15" w:rsidP="00215C15">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Import</w:t>
            </w:r>
            <w:r w:rsidR="000A29B4" w:rsidRPr="005B74F9">
              <w:rPr>
                <w:rFonts w:ascii="Gill Sans MT" w:hAnsi="Gill Sans MT"/>
                <w:b w:val="0"/>
                <w:bCs w:val="0"/>
                <w:sz w:val="16"/>
                <w:szCs w:val="16"/>
                <w:lang w:val="fr-CH"/>
              </w:rPr>
              <w:t>ateurs</w:t>
            </w:r>
          </w:p>
        </w:tc>
        <w:tc>
          <w:tcPr>
            <w:tcW w:w="893" w:type="pct"/>
            <w:vAlign w:val="center"/>
          </w:tcPr>
          <w:p w14:paraId="7CB53069" w14:textId="77777777" w:rsidR="00215C15" w:rsidRPr="005B74F9" w:rsidRDefault="00215C15" w:rsidP="00215C15">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5'790</w:t>
            </w:r>
          </w:p>
        </w:tc>
        <w:tc>
          <w:tcPr>
            <w:tcW w:w="971" w:type="pct"/>
            <w:vAlign w:val="center"/>
          </w:tcPr>
          <w:p w14:paraId="4E0F3796" w14:textId="77777777" w:rsidR="00215C15" w:rsidRPr="005B74F9" w:rsidRDefault="00215C15" w:rsidP="00215C15">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5'034</w:t>
            </w:r>
          </w:p>
        </w:tc>
        <w:tc>
          <w:tcPr>
            <w:tcW w:w="1752" w:type="pct"/>
            <w:vAlign w:val="center"/>
          </w:tcPr>
          <w:p w14:paraId="38D450AE" w14:textId="16AD208B" w:rsidR="00215C15" w:rsidRPr="005B74F9" w:rsidRDefault="008D33E5" w:rsidP="00215C15">
            <w:pPr>
              <w:pStyle w:val="woa-table-text"/>
              <w:cnfStyle w:val="000000000000" w:firstRow="0" w:lastRow="0" w:firstColumn="0" w:lastColumn="0" w:oddVBand="0" w:evenVBand="0" w:oddHBand="0" w:evenHBand="0" w:firstRowFirstColumn="0" w:firstRowLastColumn="0" w:lastRowFirstColumn="0" w:lastRowLastColumn="0"/>
              <w:rPr>
                <w:color w:val="auto"/>
                <w:lang w:val="fr-CH"/>
              </w:rPr>
            </w:pPr>
            <w:r w:rsidRPr="005B74F9">
              <w:rPr>
                <w:color w:val="auto"/>
                <w:lang w:val="fr-CH"/>
              </w:rPr>
              <w:t>Allemagne</w:t>
            </w:r>
            <w:r w:rsidR="00215C15" w:rsidRPr="005B74F9">
              <w:rPr>
                <w:color w:val="auto"/>
                <w:lang w:val="fr-CH"/>
              </w:rPr>
              <w:t xml:space="preserve"> (1'723) </w:t>
            </w:r>
            <w:r w:rsidR="00215C15" w:rsidRPr="005B74F9">
              <w:rPr>
                <w:color w:val="auto"/>
                <w:lang w:val="fr-CH"/>
              </w:rPr>
              <w:br/>
              <w:t>S</w:t>
            </w:r>
            <w:r w:rsidRPr="005B74F9">
              <w:rPr>
                <w:color w:val="auto"/>
                <w:lang w:val="fr-CH"/>
              </w:rPr>
              <w:t>uisse</w:t>
            </w:r>
            <w:r w:rsidR="00215C15" w:rsidRPr="005B74F9">
              <w:rPr>
                <w:color w:val="auto"/>
                <w:lang w:val="fr-CH"/>
              </w:rPr>
              <w:t xml:space="preserve"> (548)</w:t>
            </w:r>
          </w:p>
          <w:p w14:paraId="4427FF39" w14:textId="6B1A20A6" w:rsidR="00215C15" w:rsidRPr="005B74F9" w:rsidRDefault="00215C15" w:rsidP="00215C15">
            <w:pPr>
              <w:pStyle w:val="woa-table-text"/>
              <w:cnfStyle w:val="000000000000" w:firstRow="0" w:lastRow="0" w:firstColumn="0" w:lastColumn="0" w:oddVBand="0" w:evenVBand="0" w:oddHBand="0" w:evenHBand="0" w:firstRowFirstColumn="0" w:firstRowLastColumn="0" w:lastRowFirstColumn="0" w:lastRowLastColumn="0"/>
              <w:rPr>
                <w:color w:val="auto"/>
                <w:lang w:val="fr-CH"/>
              </w:rPr>
            </w:pPr>
            <w:r w:rsidRPr="005B74F9">
              <w:rPr>
                <w:color w:val="auto"/>
                <w:lang w:val="fr-CH"/>
              </w:rPr>
              <w:t>Fran</w:t>
            </w:r>
            <w:r w:rsidR="008D33E5" w:rsidRPr="005B74F9">
              <w:rPr>
                <w:color w:val="auto"/>
                <w:lang w:val="fr-CH"/>
              </w:rPr>
              <w:t>ce</w:t>
            </w:r>
            <w:r w:rsidRPr="005B74F9">
              <w:rPr>
                <w:color w:val="auto"/>
                <w:lang w:val="fr-CH"/>
              </w:rPr>
              <w:t xml:space="preserve"> (545)</w:t>
            </w:r>
          </w:p>
        </w:tc>
      </w:tr>
      <w:tr w:rsidR="00472118" w:rsidRPr="001539C5" w14:paraId="16701312" w14:textId="77777777" w:rsidTr="00215C1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6AB9D3E8" w14:textId="5BA7F62F" w:rsidR="00584129" w:rsidRPr="005B74F9" w:rsidRDefault="006D7225" w:rsidP="00F61C44">
            <w:pPr>
              <w:spacing w:beforeLines="20" w:before="48" w:afterLines="20" w:after="48"/>
              <w:rPr>
                <w:rFonts w:ascii="Gill Sans MT" w:hAnsi="Gill Sans MT"/>
                <w:b w:val="0"/>
                <w:bCs w:val="0"/>
                <w:sz w:val="16"/>
                <w:szCs w:val="16"/>
                <w:lang w:val="fr-CH"/>
              </w:rPr>
            </w:pPr>
            <w:r w:rsidRPr="006D7225">
              <w:rPr>
                <w:rFonts w:ascii="Gill Sans MT" w:hAnsi="Gill Sans MT"/>
                <w:b w:val="0"/>
                <w:bCs w:val="0"/>
                <w:sz w:val="16"/>
                <w:szCs w:val="16"/>
                <w:lang w:val="fr-CH"/>
              </w:rPr>
              <w:t>Chiffre d’affaires</w:t>
            </w:r>
            <w:r w:rsidR="00E902F3">
              <w:rPr>
                <w:rFonts w:ascii="Gill Sans MT" w:hAnsi="Gill Sans MT"/>
                <w:b w:val="0"/>
                <w:bCs w:val="0"/>
                <w:sz w:val="16"/>
                <w:szCs w:val="16"/>
                <w:lang w:val="fr-CH"/>
              </w:rPr>
              <w:br/>
            </w:r>
            <w:r w:rsidR="000A29B4" w:rsidRPr="006D7225">
              <w:rPr>
                <w:rFonts w:ascii="Gill Sans MT" w:hAnsi="Gill Sans MT"/>
                <w:b w:val="0"/>
                <w:bCs w:val="0"/>
                <w:sz w:val="16"/>
                <w:szCs w:val="16"/>
                <w:lang w:val="fr-CH"/>
              </w:rPr>
              <w:t xml:space="preserve"> </w:t>
            </w:r>
            <w:r w:rsidR="00D71A45" w:rsidRPr="006D7225">
              <w:rPr>
                <w:rFonts w:ascii="Gill Sans MT" w:hAnsi="Gill Sans MT"/>
                <w:b w:val="0"/>
                <w:bCs w:val="0"/>
                <w:sz w:val="16"/>
                <w:szCs w:val="16"/>
                <w:lang w:val="fr-CH"/>
              </w:rPr>
              <w:t>du commerce de</w:t>
            </w:r>
            <w:r w:rsidR="000A29B4" w:rsidRPr="006D7225">
              <w:rPr>
                <w:rFonts w:ascii="Gill Sans MT" w:hAnsi="Gill Sans MT"/>
                <w:b w:val="0"/>
                <w:bCs w:val="0"/>
                <w:sz w:val="16"/>
                <w:szCs w:val="16"/>
                <w:lang w:val="fr-CH"/>
              </w:rPr>
              <w:t xml:space="preserve"> détail</w:t>
            </w:r>
          </w:p>
        </w:tc>
        <w:tc>
          <w:tcPr>
            <w:tcW w:w="893" w:type="pct"/>
            <w:vAlign w:val="center"/>
          </w:tcPr>
          <w:p w14:paraId="76036ABB" w14:textId="15F42D06" w:rsidR="00584129" w:rsidRPr="005B74F9" w:rsidRDefault="000F0039" w:rsidP="00FA25B6">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4"/>
                <w:szCs w:val="14"/>
                <w:lang w:val="fr-CH"/>
              </w:rPr>
            </w:pPr>
            <w:r w:rsidRPr="005B74F9">
              <w:rPr>
                <w:rFonts w:ascii="Gill Sans MT" w:hAnsi="Gill Sans MT"/>
                <w:sz w:val="14"/>
                <w:szCs w:val="14"/>
                <w:lang w:val="fr-CH"/>
              </w:rPr>
              <w:t>40,7</w:t>
            </w:r>
            <w:r w:rsidR="00584129" w:rsidRPr="005B74F9">
              <w:rPr>
                <w:rFonts w:ascii="Gill Sans MT" w:hAnsi="Gill Sans MT"/>
                <w:sz w:val="14"/>
                <w:szCs w:val="14"/>
                <w:lang w:val="fr-CH"/>
              </w:rPr>
              <w:t xml:space="preserve"> </w:t>
            </w:r>
            <w:r w:rsidR="00DF2DF6" w:rsidRPr="005B74F9">
              <w:rPr>
                <w:rFonts w:ascii="Gill Sans MT" w:hAnsi="Gill Sans MT"/>
                <w:sz w:val="14"/>
                <w:szCs w:val="14"/>
                <w:lang w:val="fr-CH"/>
              </w:rPr>
              <w:t>m</w:t>
            </w:r>
            <w:r w:rsidR="00584129" w:rsidRPr="005B74F9">
              <w:rPr>
                <w:rFonts w:ascii="Gill Sans MT" w:hAnsi="Gill Sans MT"/>
                <w:sz w:val="14"/>
                <w:szCs w:val="14"/>
                <w:lang w:val="fr-CH"/>
              </w:rPr>
              <w:t>illiard</w:t>
            </w:r>
            <w:r w:rsidR="00DF2DF6" w:rsidRPr="005B74F9">
              <w:rPr>
                <w:rFonts w:ascii="Gill Sans MT" w:hAnsi="Gill Sans MT"/>
                <w:sz w:val="14"/>
                <w:szCs w:val="14"/>
                <w:lang w:val="fr-CH"/>
              </w:rPr>
              <w:t>s</w:t>
            </w:r>
            <w:r w:rsidR="00584129" w:rsidRPr="005B74F9">
              <w:rPr>
                <w:rFonts w:ascii="Gill Sans MT" w:hAnsi="Gill Sans MT"/>
                <w:sz w:val="14"/>
                <w:szCs w:val="14"/>
                <w:lang w:val="fr-CH"/>
              </w:rPr>
              <w:t xml:space="preserve"> </w:t>
            </w:r>
            <w:r w:rsidR="00DF2DF6" w:rsidRPr="005B74F9">
              <w:rPr>
                <w:rFonts w:ascii="Gill Sans MT" w:hAnsi="Gill Sans MT"/>
                <w:sz w:val="14"/>
                <w:szCs w:val="14"/>
                <w:lang w:val="fr-CH"/>
              </w:rPr>
              <w:t>d’euros</w:t>
            </w:r>
          </w:p>
        </w:tc>
        <w:tc>
          <w:tcPr>
            <w:tcW w:w="971" w:type="pct"/>
            <w:vAlign w:val="center"/>
          </w:tcPr>
          <w:p w14:paraId="7C228702" w14:textId="1712758B" w:rsidR="00584129" w:rsidRPr="005B74F9" w:rsidRDefault="000F0039" w:rsidP="00B12B9B">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37,4</w:t>
            </w:r>
            <w:r w:rsidR="00595DB8" w:rsidRPr="005B74F9">
              <w:rPr>
                <w:rFonts w:ascii="Gill Sans MT" w:hAnsi="Gill Sans MT"/>
                <w:sz w:val="16"/>
                <w:szCs w:val="16"/>
                <w:lang w:val="fr-CH"/>
              </w:rPr>
              <w:t xml:space="preserve"> </w:t>
            </w:r>
            <w:r w:rsidR="00797B79" w:rsidRPr="005B74F9">
              <w:rPr>
                <w:rFonts w:ascii="Gill Sans MT" w:hAnsi="Gill Sans MT"/>
                <w:sz w:val="16"/>
                <w:szCs w:val="16"/>
                <w:lang w:val="fr-CH"/>
              </w:rPr>
              <w:t>m</w:t>
            </w:r>
            <w:r w:rsidR="00584129" w:rsidRPr="005B74F9">
              <w:rPr>
                <w:rFonts w:ascii="Gill Sans MT" w:hAnsi="Gill Sans MT"/>
                <w:sz w:val="16"/>
                <w:szCs w:val="16"/>
                <w:lang w:val="fr-CH"/>
              </w:rPr>
              <w:t>illiar</w:t>
            </w:r>
            <w:r w:rsidR="00797B79" w:rsidRPr="005B74F9">
              <w:rPr>
                <w:rFonts w:ascii="Gill Sans MT" w:hAnsi="Gill Sans MT"/>
                <w:sz w:val="16"/>
                <w:szCs w:val="16"/>
                <w:lang w:val="fr-CH"/>
              </w:rPr>
              <w:t>ds d’euros</w:t>
            </w:r>
          </w:p>
        </w:tc>
        <w:tc>
          <w:tcPr>
            <w:tcW w:w="1752" w:type="pct"/>
            <w:vAlign w:val="center"/>
          </w:tcPr>
          <w:p w14:paraId="53A25A53" w14:textId="01321154" w:rsidR="00584129" w:rsidRPr="005B74F9" w:rsidRDefault="008D33E5" w:rsidP="004D514C">
            <w:pPr>
              <w:pStyle w:val="woa-table-text"/>
              <w:cnfStyle w:val="000000100000" w:firstRow="0" w:lastRow="0" w:firstColumn="0" w:lastColumn="0" w:oddVBand="0" w:evenVBand="0" w:oddHBand="1" w:evenHBand="0" w:firstRowFirstColumn="0" w:firstRowLastColumn="0" w:lastRowFirstColumn="0" w:lastRowLastColumn="0"/>
              <w:rPr>
                <w:sz w:val="16"/>
                <w:szCs w:val="16"/>
                <w:lang w:val="fr-CH"/>
              </w:rPr>
            </w:pPr>
            <w:r w:rsidRPr="005B74F9">
              <w:rPr>
                <w:color w:val="auto"/>
                <w:lang w:val="fr-CH"/>
              </w:rPr>
              <w:t>Allemagne</w:t>
            </w:r>
            <w:r w:rsidR="004D514C" w:rsidRPr="005B74F9">
              <w:rPr>
                <w:color w:val="auto"/>
                <w:lang w:val="fr-CH"/>
              </w:rPr>
              <w:t xml:space="preserve"> (10'910 </w:t>
            </w:r>
            <w:r w:rsidR="00043BA3" w:rsidRPr="005B74F9">
              <w:rPr>
                <w:color w:val="auto"/>
                <w:lang w:val="fr-CH"/>
              </w:rPr>
              <w:t>m</w:t>
            </w:r>
            <w:r w:rsidR="004D514C" w:rsidRPr="005B74F9">
              <w:rPr>
                <w:color w:val="auto"/>
                <w:lang w:val="fr-CH"/>
              </w:rPr>
              <w:t>ill</w:t>
            </w:r>
            <w:r w:rsidR="00043BA3" w:rsidRPr="005B74F9">
              <w:rPr>
                <w:color w:val="auto"/>
                <w:lang w:val="fr-CH"/>
              </w:rPr>
              <w:t>ions d’e</w:t>
            </w:r>
            <w:r w:rsidR="004D514C" w:rsidRPr="005B74F9">
              <w:rPr>
                <w:color w:val="auto"/>
                <w:lang w:val="fr-CH"/>
              </w:rPr>
              <w:t>uros)</w:t>
            </w:r>
            <w:r w:rsidR="004D514C" w:rsidRPr="005B74F9">
              <w:rPr>
                <w:color w:val="auto"/>
                <w:lang w:val="fr-CH"/>
              </w:rPr>
              <w:br/>
              <w:t>Fra</w:t>
            </w:r>
            <w:r w:rsidRPr="005B74F9">
              <w:rPr>
                <w:color w:val="auto"/>
                <w:lang w:val="fr-CH"/>
              </w:rPr>
              <w:t>nce</w:t>
            </w:r>
            <w:r w:rsidR="004D514C" w:rsidRPr="005B74F9">
              <w:rPr>
                <w:color w:val="auto"/>
                <w:lang w:val="fr-CH"/>
              </w:rPr>
              <w:t xml:space="preserve"> (9'139 </w:t>
            </w:r>
            <w:r w:rsidR="00043BA3" w:rsidRPr="005B74F9">
              <w:rPr>
                <w:color w:val="auto"/>
                <w:lang w:val="fr-CH"/>
              </w:rPr>
              <w:t>millions d’e</w:t>
            </w:r>
            <w:r w:rsidR="004D514C" w:rsidRPr="005B74F9">
              <w:rPr>
                <w:color w:val="auto"/>
                <w:lang w:val="fr-CH"/>
              </w:rPr>
              <w:t>uros)</w:t>
            </w:r>
            <w:r w:rsidR="004D514C" w:rsidRPr="005B74F9">
              <w:rPr>
                <w:color w:val="auto"/>
                <w:lang w:val="fr-CH"/>
              </w:rPr>
              <w:br/>
              <w:t xml:space="preserve">Italie (3'483 </w:t>
            </w:r>
            <w:r w:rsidR="00043BA3" w:rsidRPr="005B74F9">
              <w:rPr>
                <w:color w:val="auto"/>
                <w:lang w:val="fr-CH"/>
              </w:rPr>
              <w:t>millions d’e</w:t>
            </w:r>
            <w:r w:rsidR="004D514C" w:rsidRPr="005B74F9">
              <w:rPr>
                <w:color w:val="auto"/>
                <w:lang w:val="fr-CH"/>
              </w:rPr>
              <w:t>uros)</w:t>
            </w:r>
          </w:p>
        </w:tc>
      </w:tr>
      <w:tr w:rsidR="00FC17EA" w:rsidRPr="005B74F9" w14:paraId="3FC34656" w14:textId="77777777" w:rsidTr="00215C15">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6498691C" w14:textId="1E3CA4CF" w:rsidR="00FC17EA" w:rsidRPr="005B74F9" w:rsidRDefault="006D7225" w:rsidP="00FC17EA">
            <w:pPr>
              <w:spacing w:beforeLines="20" w:before="48" w:afterLines="20" w:after="48"/>
              <w:rPr>
                <w:rFonts w:ascii="Gill Sans MT" w:hAnsi="Gill Sans MT"/>
                <w:b w:val="0"/>
                <w:bCs w:val="0"/>
                <w:sz w:val="16"/>
                <w:szCs w:val="16"/>
                <w:lang w:val="fr-CH"/>
              </w:rPr>
            </w:pPr>
            <w:r>
              <w:rPr>
                <w:rFonts w:ascii="Gill Sans MT" w:hAnsi="Gill Sans MT"/>
                <w:b w:val="0"/>
                <w:bCs w:val="0"/>
                <w:sz w:val="16"/>
                <w:szCs w:val="16"/>
                <w:lang w:val="fr-CH"/>
              </w:rPr>
              <w:t xml:space="preserve">Pourcentage de hausse </w:t>
            </w:r>
            <w:r w:rsidR="004B2393" w:rsidRPr="006D7225">
              <w:rPr>
                <w:rFonts w:ascii="Gill Sans MT" w:hAnsi="Gill Sans MT"/>
                <w:b w:val="0"/>
                <w:bCs w:val="0"/>
                <w:sz w:val="16"/>
                <w:szCs w:val="16"/>
                <w:lang w:val="fr-CH"/>
              </w:rPr>
              <w:t xml:space="preserve">des ventes </w:t>
            </w:r>
            <w:r w:rsidR="00D71A45" w:rsidRPr="006D7225">
              <w:rPr>
                <w:rFonts w:ascii="Gill Sans MT" w:hAnsi="Gill Sans MT"/>
                <w:b w:val="0"/>
                <w:bCs w:val="0"/>
                <w:sz w:val="16"/>
                <w:szCs w:val="16"/>
                <w:lang w:val="fr-CH"/>
              </w:rPr>
              <w:t xml:space="preserve">du commerce de </w:t>
            </w:r>
            <w:r w:rsidR="004B2393" w:rsidRPr="006D7225">
              <w:rPr>
                <w:rFonts w:ascii="Gill Sans MT" w:hAnsi="Gill Sans MT"/>
                <w:b w:val="0"/>
                <w:bCs w:val="0"/>
                <w:sz w:val="16"/>
                <w:szCs w:val="16"/>
                <w:lang w:val="fr-CH"/>
              </w:rPr>
              <w:t>détail</w:t>
            </w:r>
          </w:p>
        </w:tc>
        <w:tc>
          <w:tcPr>
            <w:tcW w:w="893" w:type="pct"/>
            <w:vAlign w:val="center"/>
          </w:tcPr>
          <w:p w14:paraId="460553A1" w14:textId="7E075CA1" w:rsidR="00FC17EA" w:rsidRPr="005B74F9" w:rsidRDefault="00FC17EA" w:rsidP="00FC17EA">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7,8</w:t>
            </w:r>
            <w:r w:rsidR="00DF2DF6" w:rsidRPr="005B74F9">
              <w:rPr>
                <w:rFonts w:ascii="Gill Sans MT" w:hAnsi="Gill Sans MT"/>
                <w:sz w:val="16"/>
                <w:szCs w:val="16"/>
                <w:lang w:val="fr-CH"/>
              </w:rPr>
              <w:t> </w:t>
            </w:r>
            <w:r w:rsidRPr="005B74F9">
              <w:rPr>
                <w:rFonts w:ascii="Gill Sans MT" w:hAnsi="Gill Sans MT"/>
                <w:sz w:val="16"/>
                <w:szCs w:val="16"/>
                <w:lang w:val="fr-CH"/>
              </w:rPr>
              <w:t>%</w:t>
            </w:r>
          </w:p>
        </w:tc>
        <w:tc>
          <w:tcPr>
            <w:tcW w:w="971" w:type="pct"/>
            <w:vAlign w:val="center"/>
          </w:tcPr>
          <w:p w14:paraId="55661603" w14:textId="006D9B9B" w:rsidR="00FC17EA" w:rsidRPr="005B74F9" w:rsidRDefault="00FC17EA" w:rsidP="00FC17EA">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7,7</w:t>
            </w:r>
            <w:r w:rsidR="00DF2DF6" w:rsidRPr="005B74F9">
              <w:rPr>
                <w:rFonts w:ascii="Gill Sans MT" w:hAnsi="Gill Sans MT"/>
                <w:sz w:val="16"/>
                <w:szCs w:val="16"/>
                <w:lang w:val="fr-CH"/>
              </w:rPr>
              <w:t> </w:t>
            </w:r>
            <w:r w:rsidRPr="005B74F9">
              <w:rPr>
                <w:rFonts w:ascii="Gill Sans MT" w:hAnsi="Gill Sans MT"/>
                <w:sz w:val="16"/>
                <w:szCs w:val="16"/>
                <w:lang w:val="fr-CH"/>
              </w:rPr>
              <w:t>%</w:t>
            </w:r>
          </w:p>
        </w:tc>
        <w:tc>
          <w:tcPr>
            <w:tcW w:w="1752" w:type="pct"/>
            <w:vAlign w:val="center"/>
          </w:tcPr>
          <w:p w14:paraId="486758B7" w14:textId="0187A356" w:rsidR="00FC17EA" w:rsidRPr="005B74F9" w:rsidRDefault="004814C4" w:rsidP="00FC17EA">
            <w:pPr>
              <w:pStyle w:val="woa-table-text"/>
              <w:cnfStyle w:val="000000000000" w:firstRow="0" w:lastRow="0" w:firstColumn="0" w:lastColumn="0" w:oddVBand="0" w:evenVBand="0" w:oddHBand="0" w:evenHBand="0" w:firstRowFirstColumn="0" w:firstRowLastColumn="0" w:lastRowFirstColumn="0" w:lastRowLastColumn="0"/>
              <w:rPr>
                <w:color w:val="auto"/>
                <w:lang w:val="fr-CH"/>
              </w:rPr>
            </w:pPr>
            <w:r w:rsidRPr="005B74F9">
              <w:rPr>
                <w:color w:val="auto"/>
                <w:lang w:val="fr-CH"/>
              </w:rPr>
              <w:t>Fra</w:t>
            </w:r>
            <w:r w:rsidR="00043BA3" w:rsidRPr="005B74F9">
              <w:rPr>
                <w:color w:val="auto"/>
                <w:lang w:val="fr-CH"/>
              </w:rPr>
              <w:t>nce</w:t>
            </w:r>
            <w:r w:rsidRPr="005B74F9">
              <w:rPr>
                <w:color w:val="auto"/>
                <w:lang w:val="fr-CH"/>
              </w:rPr>
              <w:t xml:space="preserve"> (15,4</w:t>
            </w:r>
            <w:r w:rsidR="00043BA3" w:rsidRPr="005B74F9">
              <w:rPr>
                <w:color w:val="auto"/>
                <w:lang w:val="fr-CH"/>
              </w:rPr>
              <w:t> </w:t>
            </w:r>
            <w:r w:rsidRPr="005B74F9">
              <w:rPr>
                <w:color w:val="auto"/>
                <w:lang w:val="fr-CH"/>
              </w:rPr>
              <w:t>%)</w:t>
            </w:r>
            <w:r w:rsidRPr="005B74F9">
              <w:rPr>
                <w:color w:val="auto"/>
                <w:lang w:val="fr-CH"/>
              </w:rPr>
              <w:br/>
              <w:t>S</w:t>
            </w:r>
            <w:r w:rsidR="00043BA3" w:rsidRPr="005B74F9">
              <w:rPr>
                <w:color w:val="auto"/>
                <w:lang w:val="fr-CH"/>
              </w:rPr>
              <w:t>uisse</w:t>
            </w:r>
            <w:r w:rsidRPr="005B74F9">
              <w:rPr>
                <w:color w:val="auto"/>
                <w:lang w:val="fr-CH"/>
              </w:rPr>
              <w:t xml:space="preserve"> (13,3</w:t>
            </w:r>
            <w:r w:rsidR="00043BA3" w:rsidRPr="005B74F9">
              <w:rPr>
                <w:color w:val="auto"/>
                <w:lang w:val="fr-CH"/>
              </w:rPr>
              <w:t> </w:t>
            </w:r>
            <w:r w:rsidRPr="005B74F9">
              <w:rPr>
                <w:color w:val="auto"/>
                <w:lang w:val="fr-CH"/>
              </w:rPr>
              <w:t>%)</w:t>
            </w:r>
            <w:r w:rsidRPr="005B74F9">
              <w:rPr>
                <w:color w:val="auto"/>
                <w:lang w:val="fr-CH"/>
              </w:rPr>
              <w:br/>
              <w:t>D</w:t>
            </w:r>
            <w:r w:rsidR="00043BA3" w:rsidRPr="005B74F9">
              <w:rPr>
                <w:color w:val="auto"/>
                <w:lang w:val="fr-CH"/>
              </w:rPr>
              <w:t>a</w:t>
            </w:r>
            <w:r w:rsidRPr="005B74F9">
              <w:rPr>
                <w:color w:val="auto"/>
                <w:lang w:val="fr-CH"/>
              </w:rPr>
              <w:t>nemark (12,</w:t>
            </w:r>
            <w:r w:rsidR="00FC17EA" w:rsidRPr="005B74F9">
              <w:rPr>
                <w:color w:val="auto"/>
                <w:lang w:val="fr-CH"/>
              </w:rPr>
              <w:t>9</w:t>
            </w:r>
            <w:r w:rsidR="00043BA3" w:rsidRPr="005B74F9">
              <w:rPr>
                <w:color w:val="auto"/>
                <w:lang w:val="fr-CH"/>
              </w:rPr>
              <w:t> </w:t>
            </w:r>
            <w:r w:rsidR="00FC17EA" w:rsidRPr="005B74F9">
              <w:rPr>
                <w:color w:val="auto"/>
                <w:lang w:val="fr-CH"/>
              </w:rPr>
              <w:t>%)</w:t>
            </w:r>
          </w:p>
        </w:tc>
      </w:tr>
      <w:tr w:rsidR="00FC17EA" w:rsidRPr="005B74F9" w14:paraId="375AD5E9" w14:textId="77777777" w:rsidTr="00215C1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416E33A0" w14:textId="0474151E" w:rsidR="00FC17EA" w:rsidRPr="005B74F9" w:rsidRDefault="00334323" w:rsidP="00FC17EA">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Part du marché bio</w:t>
            </w:r>
          </w:p>
        </w:tc>
        <w:tc>
          <w:tcPr>
            <w:tcW w:w="893" w:type="pct"/>
            <w:vAlign w:val="center"/>
          </w:tcPr>
          <w:p w14:paraId="3BBF478F" w14:textId="6E622C31" w:rsidR="00FC17EA" w:rsidRPr="005B74F9" w:rsidRDefault="00283296" w:rsidP="00FC17EA">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Aucune donnée</w:t>
            </w:r>
          </w:p>
        </w:tc>
        <w:tc>
          <w:tcPr>
            <w:tcW w:w="971" w:type="pct"/>
            <w:vAlign w:val="center"/>
          </w:tcPr>
          <w:p w14:paraId="342908E6" w14:textId="5F627C65" w:rsidR="00FC17EA" w:rsidRPr="005B74F9" w:rsidRDefault="00283296" w:rsidP="00FC17EA">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Aucune donnée</w:t>
            </w:r>
          </w:p>
        </w:tc>
        <w:tc>
          <w:tcPr>
            <w:tcW w:w="1752" w:type="pct"/>
            <w:vAlign w:val="center"/>
          </w:tcPr>
          <w:p w14:paraId="25473221" w14:textId="447942F0" w:rsidR="00FC17EA" w:rsidRPr="005B74F9" w:rsidRDefault="00FC17EA" w:rsidP="002D0D71">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D</w:t>
            </w:r>
            <w:r w:rsidR="00043BA3" w:rsidRPr="005B74F9">
              <w:rPr>
                <w:rFonts w:ascii="Gill Sans MT" w:hAnsi="Gill Sans MT"/>
                <w:sz w:val="16"/>
                <w:szCs w:val="16"/>
                <w:lang w:val="fr-CH"/>
              </w:rPr>
              <w:t>a</w:t>
            </w:r>
            <w:r w:rsidRPr="005B74F9">
              <w:rPr>
                <w:rFonts w:ascii="Gill Sans MT" w:hAnsi="Gill Sans MT"/>
                <w:sz w:val="16"/>
                <w:szCs w:val="16"/>
                <w:lang w:val="fr-CH"/>
              </w:rPr>
              <w:t>nemark (</w:t>
            </w:r>
            <w:r w:rsidR="002D0D71" w:rsidRPr="005B74F9">
              <w:rPr>
                <w:rFonts w:ascii="Gill Sans MT" w:hAnsi="Gill Sans MT"/>
                <w:sz w:val="16"/>
                <w:szCs w:val="16"/>
                <w:lang w:val="fr-CH"/>
              </w:rPr>
              <w:t>11,5</w:t>
            </w:r>
            <w:r w:rsidR="00043BA3" w:rsidRPr="005B74F9">
              <w:rPr>
                <w:rFonts w:ascii="Gill Sans MT" w:hAnsi="Gill Sans MT"/>
                <w:sz w:val="16"/>
                <w:szCs w:val="16"/>
                <w:lang w:val="fr-CH"/>
              </w:rPr>
              <w:t> </w:t>
            </w:r>
            <w:r w:rsidRPr="005B74F9">
              <w:rPr>
                <w:rFonts w:ascii="Gill Sans MT" w:hAnsi="Gill Sans MT"/>
                <w:sz w:val="16"/>
                <w:szCs w:val="16"/>
                <w:lang w:val="fr-CH"/>
              </w:rPr>
              <w:t>%)</w:t>
            </w:r>
            <w:r w:rsidRPr="005B74F9">
              <w:rPr>
                <w:rFonts w:ascii="Gill Sans MT" w:hAnsi="Gill Sans MT"/>
                <w:sz w:val="16"/>
                <w:szCs w:val="16"/>
                <w:lang w:val="fr-CH"/>
              </w:rPr>
              <w:br/>
              <w:t>S</w:t>
            </w:r>
            <w:r w:rsidR="00043BA3" w:rsidRPr="005B74F9">
              <w:rPr>
                <w:rFonts w:ascii="Gill Sans MT" w:hAnsi="Gill Sans MT"/>
                <w:sz w:val="16"/>
                <w:szCs w:val="16"/>
                <w:lang w:val="fr-CH"/>
              </w:rPr>
              <w:t>uisse</w:t>
            </w:r>
            <w:r w:rsidRPr="005B74F9">
              <w:rPr>
                <w:rFonts w:ascii="Gill Sans MT" w:hAnsi="Gill Sans MT"/>
                <w:sz w:val="16"/>
                <w:szCs w:val="16"/>
                <w:lang w:val="fr-CH"/>
              </w:rPr>
              <w:t xml:space="preserve"> (</w:t>
            </w:r>
            <w:r w:rsidR="002D0D71" w:rsidRPr="005B74F9">
              <w:rPr>
                <w:rFonts w:ascii="Gill Sans MT" w:hAnsi="Gill Sans MT"/>
                <w:sz w:val="16"/>
                <w:szCs w:val="16"/>
                <w:lang w:val="fr-CH"/>
              </w:rPr>
              <w:t>9,9</w:t>
            </w:r>
            <w:r w:rsidR="00043BA3" w:rsidRPr="005B74F9">
              <w:rPr>
                <w:rFonts w:ascii="Gill Sans MT" w:hAnsi="Gill Sans MT"/>
                <w:sz w:val="16"/>
                <w:szCs w:val="16"/>
                <w:lang w:val="fr-CH"/>
              </w:rPr>
              <w:t> </w:t>
            </w:r>
            <w:r w:rsidRPr="005B74F9">
              <w:rPr>
                <w:rFonts w:ascii="Gill Sans MT" w:hAnsi="Gill Sans MT"/>
                <w:sz w:val="16"/>
                <w:szCs w:val="16"/>
                <w:lang w:val="fr-CH"/>
              </w:rPr>
              <w:t>%)</w:t>
            </w:r>
            <w:r w:rsidRPr="005B74F9">
              <w:rPr>
                <w:rFonts w:ascii="Gill Sans MT" w:hAnsi="Gill Sans MT"/>
                <w:sz w:val="16"/>
                <w:szCs w:val="16"/>
                <w:lang w:val="fr-CH"/>
              </w:rPr>
              <w:br/>
            </w:r>
            <w:r w:rsidR="002D0D71" w:rsidRPr="005B74F9">
              <w:rPr>
                <w:rFonts w:ascii="Gill Sans MT" w:hAnsi="Gill Sans MT"/>
                <w:sz w:val="16"/>
                <w:szCs w:val="16"/>
                <w:lang w:val="fr-CH"/>
              </w:rPr>
              <w:t>S</w:t>
            </w:r>
            <w:r w:rsidR="00043BA3" w:rsidRPr="005B74F9">
              <w:rPr>
                <w:rFonts w:ascii="Gill Sans MT" w:hAnsi="Gill Sans MT"/>
                <w:sz w:val="16"/>
                <w:szCs w:val="16"/>
                <w:lang w:val="fr-CH"/>
              </w:rPr>
              <w:t>uède</w:t>
            </w:r>
            <w:r w:rsidRPr="005B74F9">
              <w:rPr>
                <w:rFonts w:ascii="Gill Sans MT" w:hAnsi="Gill Sans MT"/>
                <w:sz w:val="16"/>
                <w:szCs w:val="16"/>
                <w:lang w:val="fr-CH"/>
              </w:rPr>
              <w:t xml:space="preserve"> (</w:t>
            </w:r>
            <w:r w:rsidR="002D0D71" w:rsidRPr="005B74F9">
              <w:rPr>
                <w:rFonts w:ascii="Gill Sans MT" w:hAnsi="Gill Sans MT"/>
                <w:sz w:val="16"/>
                <w:szCs w:val="16"/>
                <w:lang w:val="fr-CH"/>
              </w:rPr>
              <w:t>9,6</w:t>
            </w:r>
            <w:r w:rsidR="00043BA3" w:rsidRPr="005B74F9">
              <w:rPr>
                <w:rFonts w:ascii="Gill Sans MT" w:hAnsi="Gill Sans MT"/>
                <w:sz w:val="16"/>
                <w:szCs w:val="16"/>
                <w:lang w:val="fr-CH"/>
              </w:rPr>
              <w:t> </w:t>
            </w:r>
            <w:r w:rsidRPr="005B74F9">
              <w:rPr>
                <w:rFonts w:ascii="Gill Sans MT" w:hAnsi="Gill Sans MT"/>
                <w:sz w:val="16"/>
                <w:szCs w:val="16"/>
                <w:lang w:val="fr-CH"/>
              </w:rPr>
              <w:t>%)</w:t>
            </w:r>
          </w:p>
        </w:tc>
      </w:tr>
      <w:tr w:rsidR="00FC17EA" w:rsidRPr="001539C5" w14:paraId="590BA3DE" w14:textId="77777777" w:rsidTr="00215C15">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14:paraId="32CD0EC8" w14:textId="12ACA224" w:rsidR="00FC17EA" w:rsidRPr="005B74F9" w:rsidRDefault="00334323" w:rsidP="00FC17EA">
            <w:pPr>
              <w:spacing w:beforeLines="20" w:before="48" w:afterLines="20" w:after="48"/>
              <w:rPr>
                <w:rFonts w:ascii="Gill Sans MT" w:hAnsi="Gill Sans MT"/>
                <w:b w:val="0"/>
                <w:bCs w:val="0"/>
                <w:sz w:val="16"/>
                <w:szCs w:val="16"/>
                <w:lang w:val="fr-CH"/>
              </w:rPr>
            </w:pPr>
            <w:r w:rsidRPr="005B74F9">
              <w:rPr>
                <w:rFonts w:ascii="Gill Sans MT" w:hAnsi="Gill Sans MT"/>
                <w:b w:val="0"/>
                <w:bCs w:val="0"/>
                <w:sz w:val="16"/>
                <w:szCs w:val="16"/>
                <w:lang w:val="fr-CH"/>
              </w:rPr>
              <w:t>Consommation bio par habitant en </w:t>
            </w:r>
            <w:r w:rsidR="003A65CB" w:rsidRPr="005B74F9">
              <w:rPr>
                <w:rFonts w:ascii="Gill Sans MT" w:hAnsi="Gill Sans MT"/>
                <w:b w:val="0"/>
                <w:bCs w:val="0"/>
                <w:sz w:val="16"/>
                <w:szCs w:val="16"/>
                <w:lang w:val="fr-CH"/>
              </w:rPr>
              <w:t>2018</w:t>
            </w:r>
          </w:p>
        </w:tc>
        <w:tc>
          <w:tcPr>
            <w:tcW w:w="893" w:type="pct"/>
            <w:vAlign w:val="center"/>
          </w:tcPr>
          <w:p w14:paraId="7FBCDEE7" w14:textId="2DF1D733" w:rsidR="00FC17EA" w:rsidRPr="005B74F9" w:rsidRDefault="002D0D71" w:rsidP="00FC17EA">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50</w:t>
            </w:r>
            <w:r w:rsidR="00DF2DF6" w:rsidRPr="005B74F9">
              <w:rPr>
                <w:rFonts w:ascii="Gill Sans MT" w:hAnsi="Gill Sans MT"/>
                <w:sz w:val="16"/>
                <w:szCs w:val="16"/>
                <w:lang w:val="fr-CH"/>
              </w:rPr>
              <w:t> euros</w:t>
            </w:r>
          </w:p>
        </w:tc>
        <w:tc>
          <w:tcPr>
            <w:tcW w:w="971" w:type="pct"/>
            <w:vAlign w:val="center"/>
          </w:tcPr>
          <w:p w14:paraId="0BC0325E" w14:textId="0EDA267D" w:rsidR="00FC17EA" w:rsidRPr="005B74F9" w:rsidRDefault="002D0D71" w:rsidP="00FC17EA">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76</w:t>
            </w:r>
            <w:r w:rsidR="00DF2DF6" w:rsidRPr="005B74F9">
              <w:rPr>
                <w:rFonts w:ascii="Gill Sans MT" w:hAnsi="Gill Sans MT"/>
                <w:sz w:val="16"/>
                <w:szCs w:val="16"/>
                <w:lang w:val="fr-CH"/>
              </w:rPr>
              <w:t> euros</w:t>
            </w:r>
          </w:p>
        </w:tc>
        <w:tc>
          <w:tcPr>
            <w:tcW w:w="1752" w:type="pct"/>
            <w:vAlign w:val="center"/>
          </w:tcPr>
          <w:p w14:paraId="6758E9BB" w14:textId="465C3D2F" w:rsidR="00FC17EA" w:rsidRPr="005B74F9" w:rsidRDefault="00FC17EA" w:rsidP="002D0D71">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val="fr-CH"/>
              </w:rPr>
            </w:pPr>
            <w:r w:rsidRPr="005B74F9">
              <w:rPr>
                <w:rFonts w:ascii="Gill Sans MT" w:hAnsi="Gill Sans MT"/>
                <w:sz w:val="16"/>
                <w:szCs w:val="16"/>
                <w:lang w:val="fr-CH"/>
              </w:rPr>
              <w:t>S</w:t>
            </w:r>
            <w:r w:rsidR="00043BA3" w:rsidRPr="005B74F9">
              <w:rPr>
                <w:rFonts w:ascii="Gill Sans MT" w:hAnsi="Gill Sans MT"/>
                <w:sz w:val="16"/>
                <w:szCs w:val="16"/>
                <w:lang w:val="fr-CH"/>
              </w:rPr>
              <w:t>uisse</w:t>
            </w:r>
            <w:r w:rsidRPr="005B74F9">
              <w:rPr>
                <w:rFonts w:ascii="Gill Sans MT" w:hAnsi="Gill Sans MT"/>
                <w:sz w:val="16"/>
                <w:szCs w:val="16"/>
                <w:lang w:val="fr-CH"/>
              </w:rPr>
              <w:t xml:space="preserve"> (</w:t>
            </w:r>
            <w:r w:rsidR="002D0D71" w:rsidRPr="005B74F9">
              <w:rPr>
                <w:rFonts w:ascii="Gill Sans MT" w:hAnsi="Gill Sans MT"/>
                <w:sz w:val="16"/>
                <w:szCs w:val="16"/>
                <w:lang w:val="fr-CH"/>
              </w:rPr>
              <w:t>312</w:t>
            </w:r>
            <w:r w:rsidR="00283296" w:rsidRPr="005B74F9">
              <w:rPr>
                <w:rFonts w:ascii="Gill Sans MT" w:hAnsi="Gill Sans MT"/>
                <w:sz w:val="16"/>
                <w:szCs w:val="16"/>
                <w:lang w:val="fr-CH"/>
              </w:rPr>
              <w:t> euros</w:t>
            </w:r>
            <w:r w:rsidRPr="005B74F9">
              <w:rPr>
                <w:rFonts w:ascii="Gill Sans MT" w:hAnsi="Gill Sans MT"/>
                <w:sz w:val="16"/>
                <w:szCs w:val="16"/>
                <w:lang w:val="fr-CH"/>
              </w:rPr>
              <w:t>)</w:t>
            </w:r>
            <w:r w:rsidRPr="005B74F9">
              <w:rPr>
                <w:rFonts w:ascii="Gill Sans MT" w:hAnsi="Gill Sans MT"/>
                <w:sz w:val="16"/>
                <w:szCs w:val="16"/>
                <w:lang w:val="fr-CH"/>
              </w:rPr>
              <w:br/>
              <w:t>D</w:t>
            </w:r>
            <w:r w:rsidR="00043BA3" w:rsidRPr="005B74F9">
              <w:rPr>
                <w:rFonts w:ascii="Gill Sans MT" w:hAnsi="Gill Sans MT"/>
                <w:sz w:val="16"/>
                <w:szCs w:val="16"/>
                <w:lang w:val="fr-CH"/>
              </w:rPr>
              <w:t>a</w:t>
            </w:r>
            <w:r w:rsidRPr="005B74F9">
              <w:rPr>
                <w:rFonts w:ascii="Gill Sans MT" w:hAnsi="Gill Sans MT"/>
                <w:sz w:val="16"/>
                <w:szCs w:val="16"/>
                <w:lang w:val="fr-CH"/>
              </w:rPr>
              <w:t>nemark (</w:t>
            </w:r>
            <w:r w:rsidR="002D0D71" w:rsidRPr="005B74F9">
              <w:rPr>
                <w:rFonts w:ascii="Gill Sans MT" w:hAnsi="Gill Sans MT"/>
                <w:sz w:val="16"/>
                <w:szCs w:val="16"/>
                <w:lang w:val="fr-CH"/>
              </w:rPr>
              <w:t>312</w:t>
            </w:r>
            <w:r w:rsidR="00283296" w:rsidRPr="005B74F9">
              <w:rPr>
                <w:rFonts w:ascii="Gill Sans MT" w:hAnsi="Gill Sans MT"/>
                <w:sz w:val="16"/>
                <w:szCs w:val="16"/>
                <w:lang w:val="fr-CH"/>
              </w:rPr>
              <w:t> e</w:t>
            </w:r>
            <w:r w:rsidRPr="005B74F9">
              <w:rPr>
                <w:rFonts w:ascii="Gill Sans MT" w:hAnsi="Gill Sans MT"/>
                <w:sz w:val="16"/>
                <w:szCs w:val="16"/>
                <w:lang w:val="fr-CH"/>
              </w:rPr>
              <w:t>uro</w:t>
            </w:r>
            <w:r w:rsidR="00283296" w:rsidRPr="005B74F9">
              <w:rPr>
                <w:rFonts w:ascii="Gill Sans MT" w:hAnsi="Gill Sans MT"/>
                <w:sz w:val="16"/>
                <w:szCs w:val="16"/>
                <w:lang w:val="fr-CH"/>
              </w:rPr>
              <w:t>s</w:t>
            </w:r>
            <w:r w:rsidRPr="005B74F9">
              <w:rPr>
                <w:rFonts w:ascii="Gill Sans MT" w:hAnsi="Gill Sans MT"/>
                <w:sz w:val="16"/>
                <w:szCs w:val="16"/>
                <w:lang w:val="fr-CH"/>
              </w:rPr>
              <w:t>)</w:t>
            </w:r>
            <w:r w:rsidRPr="005B74F9">
              <w:rPr>
                <w:rFonts w:ascii="Gill Sans MT" w:hAnsi="Gill Sans MT"/>
                <w:sz w:val="16"/>
                <w:szCs w:val="16"/>
                <w:lang w:val="fr-CH"/>
              </w:rPr>
              <w:br/>
              <w:t>S</w:t>
            </w:r>
            <w:r w:rsidR="00043BA3" w:rsidRPr="005B74F9">
              <w:rPr>
                <w:rFonts w:ascii="Gill Sans MT" w:hAnsi="Gill Sans MT"/>
                <w:sz w:val="16"/>
                <w:szCs w:val="16"/>
                <w:lang w:val="fr-CH"/>
              </w:rPr>
              <w:t>uède</w:t>
            </w:r>
            <w:r w:rsidRPr="005B74F9">
              <w:rPr>
                <w:rFonts w:ascii="Gill Sans MT" w:hAnsi="Gill Sans MT"/>
                <w:sz w:val="16"/>
                <w:szCs w:val="16"/>
                <w:lang w:val="fr-CH"/>
              </w:rPr>
              <w:t xml:space="preserve"> (2</w:t>
            </w:r>
            <w:r w:rsidR="002D0D71" w:rsidRPr="005B74F9">
              <w:rPr>
                <w:rFonts w:ascii="Gill Sans MT" w:hAnsi="Gill Sans MT"/>
                <w:sz w:val="16"/>
                <w:szCs w:val="16"/>
                <w:lang w:val="fr-CH"/>
              </w:rPr>
              <w:t>31</w:t>
            </w:r>
            <w:r w:rsidR="00283296" w:rsidRPr="005B74F9">
              <w:rPr>
                <w:rFonts w:ascii="Gill Sans MT" w:hAnsi="Gill Sans MT"/>
                <w:sz w:val="16"/>
                <w:szCs w:val="16"/>
                <w:lang w:val="fr-CH"/>
              </w:rPr>
              <w:t> e</w:t>
            </w:r>
            <w:r w:rsidRPr="005B74F9">
              <w:rPr>
                <w:rFonts w:ascii="Gill Sans MT" w:hAnsi="Gill Sans MT"/>
                <w:sz w:val="16"/>
                <w:szCs w:val="16"/>
                <w:lang w:val="fr-CH"/>
              </w:rPr>
              <w:t>uro</w:t>
            </w:r>
            <w:r w:rsidR="00283296" w:rsidRPr="005B74F9">
              <w:rPr>
                <w:rFonts w:ascii="Gill Sans MT" w:hAnsi="Gill Sans MT"/>
                <w:sz w:val="16"/>
                <w:szCs w:val="16"/>
                <w:lang w:val="fr-CH"/>
              </w:rPr>
              <w:t>s</w:t>
            </w:r>
            <w:r w:rsidRPr="005B74F9">
              <w:rPr>
                <w:rFonts w:ascii="Gill Sans MT" w:hAnsi="Gill Sans MT"/>
                <w:sz w:val="16"/>
                <w:szCs w:val="16"/>
                <w:lang w:val="fr-CH"/>
              </w:rPr>
              <w:t>)</w:t>
            </w:r>
          </w:p>
        </w:tc>
      </w:tr>
    </w:tbl>
    <w:p w14:paraId="2E9A5BEF" w14:textId="3DB9DA01" w:rsidR="00EB6B1C" w:rsidRPr="00D71A45" w:rsidRDefault="00770538" w:rsidP="00770538">
      <w:pPr>
        <w:pStyle w:val="FiBLmrfooter"/>
        <w:rPr>
          <w:color w:val="auto"/>
          <w:lang w:val="fr-FR"/>
        </w:rPr>
      </w:pPr>
      <w:r w:rsidRPr="00A04B53">
        <w:rPr>
          <w:lang w:val="fr-FR"/>
        </w:rPr>
        <w:br/>
      </w:r>
      <w:r w:rsidR="00DF2DF6" w:rsidRPr="00D71A45">
        <w:rPr>
          <w:color w:val="auto"/>
          <w:lang w:val="fr-FR"/>
        </w:rPr>
        <w:t>Source</w:t>
      </w:r>
      <w:r w:rsidR="00FA25B6" w:rsidRPr="00D71A45">
        <w:rPr>
          <w:color w:val="auto"/>
          <w:lang w:val="fr-FR"/>
        </w:rPr>
        <w:t xml:space="preserve">: </w:t>
      </w:r>
      <w:r w:rsidR="00F157E2" w:rsidRPr="00D71A45">
        <w:rPr>
          <w:color w:val="auto"/>
          <w:lang w:val="fr-FR"/>
        </w:rPr>
        <w:t xml:space="preserve">enquête </w:t>
      </w:r>
      <w:r w:rsidR="006D7225">
        <w:rPr>
          <w:color w:val="auto"/>
          <w:lang w:val="fr-FR"/>
        </w:rPr>
        <w:t>réalisée conjointement par le</w:t>
      </w:r>
      <w:r w:rsidR="00F157E2" w:rsidRPr="00D71A45">
        <w:rPr>
          <w:color w:val="auto"/>
          <w:lang w:val="fr-FR"/>
        </w:rPr>
        <w:t xml:space="preserve"> FiBL et l’AMI</w:t>
      </w:r>
      <w:r w:rsidR="00FA25B6" w:rsidRPr="00D71A45">
        <w:rPr>
          <w:color w:val="auto"/>
          <w:lang w:val="fr-FR"/>
        </w:rPr>
        <w:t xml:space="preserve"> </w:t>
      </w:r>
      <w:r w:rsidR="006D7225">
        <w:rPr>
          <w:color w:val="auto"/>
          <w:lang w:val="fr-FR"/>
        </w:rPr>
        <w:t xml:space="preserve">en </w:t>
      </w:r>
      <w:r w:rsidR="00FA25B6" w:rsidRPr="00D71A45">
        <w:rPr>
          <w:color w:val="auto"/>
          <w:lang w:val="fr-FR"/>
        </w:rPr>
        <w:t>20</w:t>
      </w:r>
      <w:r w:rsidR="00404EF3" w:rsidRPr="00D71A45">
        <w:rPr>
          <w:color w:val="auto"/>
          <w:lang w:val="fr-FR"/>
        </w:rPr>
        <w:t>20</w:t>
      </w:r>
      <w:r w:rsidR="00B8078A" w:rsidRPr="00D71A45">
        <w:rPr>
          <w:color w:val="auto"/>
          <w:lang w:val="fr-FR"/>
        </w:rPr>
        <w:t xml:space="preserve"> </w:t>
      </w:r>
    </w:p>
    <w:p w14:paraId="72C5A2F5" w14:textId="77777777" w:rsidR="00EB6B1C" w:rsidRPr="00A04B53" w:rsidRDefault="00EB6B1C">
      <w:pPr>
        <w:rPr>
          <w:rFonts w:ascii="Palatino Linotype" w:hAnsi="Palatino Linotype"/>
          <w:lang w:val="fr-FR"/>
        </w:rPr>
      </w:pPr>
      <w:r w:rsidRPr="00A04B53">
        <w:rPr>
          <w:lang w:val="fr-FR"/>
        </w:rPr>
        <w:br w:type="page"/>
      </w:r>
    </w:p>
    <w:p w14:paraId="2309879E" w14:textId="77777777" w:rsidR="000641BB" w:rsidRPr="00B221D3" w:rsidRDefault="00E65F65" w:rsidP="000641BB">
      <w:pPr>
        <w:pStyle w:val="FiBLmrstandard"/>
      </w:pPr>
      <w:r>
        <w:rPr>
          <w:noProof/>
          <w:lang w:eastAsia="de-CH"/>
        </w:rPr>
        <w:lastRenderedPageBreak/>
        <w:drawing>
          <wp:inline distT="0" distB="0" distL="0" distR="0" wp14:anchorId="484C758F" wp14:editId="355F1497">
            <wp:extent cx="7592020" cy="5712384"/>
            <wp:effectExtent l="635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ld_of_Organic_Agriculture_Infographics_DE_2020_europe.jpg"/>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7592020" cy="5712384"/>
                    </a:xfrm>
                    <a:prstGeom prst="rect">
                      <a:avLst/>
                    </a:prstGeom>
                  </pic:spPr>
                </pic:pic>
              </a:graphicData>
            </a:graphic>
          </wp:inline>
        </w:drawing>
      </w:r>
      <w:r w:rsidR="000641BB" w:rsidRPr="00B221D3">
        <w:br w:type="page"/>
      </w:r>
    </w:p>
    <w:p w14:paraId="3FA4808E" w14:textId="77777777" w:rsidR="000641BB" w:rsidRPr="00B221D3" w:rsidRDefault="00680B5D" w:rsidP="000641BB">
      <w:pPr>
        <w:pStyle w:val="FiBLmrstandard"/>
      </w:pPr>
      <w:r>
        <w:rPr>
          <w:noProof/>
          <w:lang w:eastAsia="de-CH"/>
        </w:rPr>
        <w:lastRenderedPageBreak/>
        <w:drawing>
          <wp:inline distT="0" distB="0" distL="0" distR="0" wp14:anchorId="0E5561C6" wp14:editId="6577E3A8">
            <wp:extent cx="7655304" cy="5760000"/>
            <wp:effectExtent l="0" t="4762"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ld_of_Organic_Agriculture_Infographics_DE_2020_EU.jpg"/>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7655304" cy="5760000"/>
                    </a:xfrm>
                    <a:prstGeom prst="rect">
                      <a:avLst/>
                    </a:prstGeom>
                  </pic:spPr>
                </pic:pic>
              </a:graphicData>
            </a:graphic>
          </wp:inline>
        </w:drawing>
      </w:r>
    </w:p>
    <w:p w14:paraId="24E49E5B" w14:textId="77777777" w:rsidR="00FA25B6" w:rsidRPr="00B221D3" w:rsidRDefault="00FA25B6" w:rsidP="00EB6B1C">
      <w:pPr>
        <w:pStyle w:val="FiBLmrstandard"/>
      </w:pPr>
    </w:p>
    <w:p w14:paraId="719BC992" w14:textId="77777777" w:rsidR="00FA25B6" w:rsidRPr="00B221D3" w:rsidRDefault="00FA25B6" w:rsidP="00EB6B1C">
      <w:pPr>
        <w:pStyle w:val="FiBLmrstandard"/>
      </w:pPr>
    </w:p>
    <w:p w14:paraId="0090CEF1" w14:textId="77777777" w:rsidR="00566983" w:rsidRDefault="002D344B" w:rsidP="00EB6B1C">
      <w:pPr>
        <w:pStyle w:val="FiBLmrstandard"/>
      </w:pPr>
      <w:bookmarkStart w:id="0" w:name="_GoBack"/>
      <w:r>
        <w:rPr>
          <w:noProof/>
          <w:lang w:eastAsia="de-CH"/>
        </w:rPr>
        <w:drawing>
          <wp:inline distT="0" distB="0" distL="0" distR="0" wp14:anchorId="6DA86349" wp14:editId="4A627CB8">
            <wp:extent cx="5298487" cy="37236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_Biolandwirtschaftsfläche_Europa.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98487" cy="3723639"/>
                    </a:xfrm>
                    <a:prstGeom prst="rect">
                      <a:avLst/>
                    </a:prstGeom>
                  </pic:spPr>
                </pic:pic>
              </a:graphicData>
            </a:graphic>
          </wp:inline>
        </w:drawing>
      </w:r>
      <w:bookmarkEnd w:id="0"/>
    </w:p>
    <w:p w14:paraId="4E5FB26A" w14:textId="77777777" w:rsidR="002D344B" w:rsidRPr="00C21CF4" w:rsidRDefault="002D344B" w:rsidP="00EB6B1C">
      <w:pPr>
        <w:pStyle w:val="FiBLmrstandard"/>
      </w:pPr>
      <w:r>
        <w:rPr>
          <w:noProof/>
          <w:lang w:eastAsia="de-CH"/>
        </w:rPr>
        <w:drawing>
          <wp:inline distT="0" distB="0" distL="0" distR="0" wp14:anchorId="454392EC" wp14:editId="72B07D6F">
            <wp:extent cx="5301205" cy="387286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_Biolandwirtschaftsfläche_EU.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01205" cy="3872865"/>
                    </a:xfrm>
                    <a:prstGeom prst="rect">
                      <a:avLst/>
                    </a:prstGeom>
                  </pic:spPr>
                </pic:pic>
              </a:graphicData>
            </a:graphic>
          </wp:inline>
        </w:drawing>
      </w:r>
    </w:p>
    <w:sectPr w:rsidR="002D344B" w:rsidRPr="00C21CF4" w:rsidSect="00232993">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6C38" w14:textId="77777777" w:rsidR="00BE284C" w:rsidRDefault="00BE284C" w:rsidP="00F53AA9">
      <w:pPr>
        <w:spacing w:after="0" w:line="240" w:lineRule="auto"/>
      </w:pPr>
      <w:r>
        <w:separator/>
      </w:r>
    </w:p>
  </w:endnote>
  <w:endnote w:type="continuationSeparator" w:id="0">
    <w:p w14:paraId="71DB3D3A" w14:textId="77777777" w:rsidR="00BE284C" w:rsidRDefault="00BE284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0A29B4" w:rsidRPr="001539C5" w14:paraId="20B7023E" w14:textId="77777777" w:rsidTr="00232993">
      <w:trPr>
        <w:trHeight w:val="508"/>
      </w:trPr>
      <w:tc>
        <w:tcPr>
          <w:tcW w:w="7656" w:type="dxa"/>
        </w:tcPr>
        <w:p w14:paraId="455F2CE1" w14:textId="7D57997A" w:rsidR="000A29B4" w:rsidRPr="00FA3D68" w:rsidRDefault="000A29B4" w:rsidP="00DA14CE">
          <w:pPr>
            <w:pStyle w:val="FiBLmrfooter"/>
            <w:rPr>
              <w:lang w:val="fr-FR"/>
            </w:rPr>
          </w:pPr>
          <w:r w:rsidRPr="00FA3D68">
            <w:rPr>
              <w:lang w:val="fr-FR"/>
            </w:rPr>
            <w:t xml:space="preserve">Institut de recherche de l’agriculture biologique </w:t>
          </w:r>
          <w:r w:rsidR="00845226">
            <w:rPr>
              <w:lang w:val="fr-FR"/>
            </w:rPr>
            <w:t>(</w:t>
          </w:r>
          <w:r w:rsidRPr="00FA3D68">
            <w:rPr>
              <w:lang w:val="fr-FR"/>
            </w:rPr>
            <w:t>FiBL</w:t>
          </w:r>
          <w:r w:rsidR="00845226">
            <w:rPr>
              <w:lang w:val="fr-FR"/>
            </w:rPr>
            <w:t>)</w:t>
          </w:r>
          <w:r w:rsidRPr="00FA3D68">
            <w:rPr>
              <w:lang w:val="fr-FR"/>
            </w:rPr>
            <w:t xml:space="preserve"> | Ackerstrasse 113 | </w:t>
          </w:r>
          <w:r>
            <w:rPr>
              <w:lang w:val="fr-FR"/>
            </w:rPr>
            <w:t>case postale</w:t>
          </w:r>
          <w:r w:rsidRPr="00FA3D68">
            <w:rPr>
              <w:lang w:val="fr-FR"/>
            </w:rPr>
            <w:t xml:space="preserve"> 219 </w:t>
          </w:r>
        </w:p>
        <w:p w14:paraId="6F499F55" w14:textId="66B12454" w:rsidR="000A29B4" w:rsidRPr="00A32159" w:rsidRDefault="000A29B4" w:rsidP="004E26A3">
          <w:pPr>
            <w:pStyle w:val="FiBLmrfooter"/>
            <w:rPr>
              <w:lang w:val="fr-FR"/>
            </w:rPr>
          </w:pPr>
          <w:r w:rsidRPr="00A32159">
            <w:rPr>
              <w:lang w:val="fr-FR"/>
            </w:rPr>
            <w:t xml:space="preserve">5070 Frick | Suisse | Tél. +41 62 865 72 72 | </w:t>
          </w:r>
          <w:hyperlink r:id="rId1">
            <w:r w:rsidRPr="00A32159">
              <w:rPr>
                <w:lang w:val="fr-FR"/>
              </w:rPr>
              <w:t xml:space="preserve">info.suisse@fibl.org </w:t>
            </w:r>
          </w:hyperlink>
          <w:r w:rsidRPr="00A32159">
            <w:rPr>
              <w:lang w:val="fr-FR"/>
            </w:rPr>
            <w:t xml:space="preserve">| </w:t>
          </w:r>
          <w:hyperlink r:id="rId2">
            <w:r w:rsidRPr="00A32159">
              <w:rPr>
                <w:lang w:val="fr-FR"/>
              </w:rPr>
              <w:t>www.fibl.org</w:t>
            </w:r>
          </w:hyperlink>
        </w:p>
      </w:tc>
      <w:tc>
        <w:tcPr>
          <w:tcW w:w="407" w:type="dxa"/>
        </w:tcPr>
        <w:p w14:paraId="767279C9" w14:textId="77777777" w:rsidR="000A29B4" w:rsidRPr="00A32159" w:rsidRDefault="000A29B4" w:rsidP="00DA14CE">
          <w:pPr>
            <w:pStyle w:val="FiBLmrpagenumber"/>
            <w:rPr>
              <w:lang w:val="fr-FR"/>
            </w:rPr>
          </w:pPr>
        </w:p>
      </w:tc>
    </w:tr>
  </w:tbl>
  <w:p w14:paraId="27DDBF7E" w14:textId="77777777" w:rsidR="000A29B4" w:rsidRPr="00A32159" w:rsidRDefault="000A29B4"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0A29B4" w:rsidRPr="001F35B2" w14:paraId="7833B319" w14:textId="77777777" w:rsidTr="00F1030B">
      <w:trPr>
        <w:trHeight w:val="510"/>
      </w:trPr>
      <w:tc>
        <w:tcPr>
          <w:tcW w:w="4923" w:type="pct"/>
        </w:tcPr>
        <w:p w14:paraId="2F4361F1" w14:textId="41FE486D" w:rsidR="000A29B4" w:rsidRPr="0023521E" w:rsidRDefault="000A29B4" w:rsidP="00A0635F">
          <w:pPr>
            <w:pStyle w:val="FiBLmrfooter"/>
            <w:rPr>
              <w:lang w:val="fr-FR"/>
            </w:rPr>
          </w:pPr>
          <w:r w:rsidRPr="0023521E">
            <w:rPr>
              <w:lang w:val="fr-FR"/>
            </w:rPr>
            <w:t>Communiqué aux médias du 12 février 2020</w:t>
          </w:r>
        </w:p>
      </w:tc>
      <w:tc>
        <w:tcPr>
          <w:tcW w:w="77" w:type="pct"/>
        </w:tcPr>
        <w:p w14:paraId="471127E1" w14:textId="1419F5FA" w:rsidR="000A29B4" w:rsidRPr="001F35B2" w:rsidRDefault="000A29B4" w:rsidP="00DA14CE">
          <w:pPr>
            <w:pStyle w:val="FiBLmrpagenumber"/>
            <w:rPr>
              <w:lang w:val="de-CH"/>
            </w:rPr>
          </w:pPr>
          <w:r w:rsidRPr="001F35B2">
            <w:rPr>
              <w:lang w:val="de-CH"/>
            </w:rPr>
            <w:fldChar w:fldCharType="begin"/>
          </w:r>
          <w:r w:rsidRPr="001F35B2">
            <w:rPr>
              <w:lang w:val="de-CH"/>
            </w:rPr>
            <w:instrText xml:space="preserve"> PAGE   \* MERGEFORMAT </w:instrText>
          </w:r>
          <w:r w:rsidRPr="001F35B2">
            <w:rPr>
              <w:lang w:val="de-CH"/>
            </w:rPr>
            <w:fldChar w:fldCharType="separate"/>
          </w:r>
          <w:r w:rsidR="000B5F50">
            <w:rPr>
              <w:noProof/>
              <w:lang w:val="de-CH"/>
            </w:rPr>
            <w:t>7</w:t>
          </w:r>
          <w:r w:rsidRPr="001F35B2">
            <w:rPr>
              <w:lang w:val="de-CH"/>
            </w:rPr>
            <w:fldChar w:fldCharType="end"/>
          </w:r>
        </w:p>
      </w:tc>
    </w:tr>
  </w:tbl>
  <w:p w14:paraId="726AABD5" w14:textId="77777777" w:rsidR="000A29B4" w:rsidRPr="001F35B2" w:rsidRDefault="000A29B4"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1B489" w14:textId="77777777" w:rsidR="00BE284C" w:rsidRDefault="00BE284C" w:rsidP="00F53AA9">
      <w:pPr>
        <w:spacing w:after="0" w:line="240" w:lineRule="auto"/>
      </w:pPr>
      <w:r>
        <w:separator/>
      </w:r>
    </w:p>
  </w:footnote>
  <w:footnote w:type="continuationSeparator" w:id="0">
    <w:p w14:paraId="45C77374" w14:textId="77777777" w:rsidR="00BE284C" w:rsidRDefault="00BE284C"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891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92"/>
      <w:gridCol w:w="6"/>
      <w:gridCol w:w="6"/>
      <w:gridCol w:w="6"/>
    </w:tblGrid>
    <w:tr w:rsidR="000A29B4" w14:paraId="1F1429B8" w14:textId="77777777" w:rsidTr="00313B62">
      <w:trPr>
        <w:trHeight w:val="599"/>
      </w:trPr>
      <w:tc>
        <w:tcPr>
          <w:tcW w:w="1576" w:type="dxa"/>
          <w:vAlign w:val="center"/>
        </w:tcPr>
        <w:tbl>
          <w:tblPr>
            <w:tblStyle w:val="Tabellenraster"/>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72"/>
            <w:gridCol w:w="3550"/>
            <w:gridCol w:w="1894"/>
            <w:gridCol w:w="1894"/>
          </w:tblGrid>
          <w:tr w:rsidR="000A29B4" w14:paraId="6C31ADBA" w14:textId="77777777" w:rsidTr="000A29B4">
            <w:trPr>
              <w:trHeight w:val="599"/>
            </w:trPr>
            <w:tc>
              <w:tcPr>
                <w:tcW w:w="1572" w:type="dxa"/>
                <w:vAlign w:val="bottom"/>
              </w:tcPr>
              <w:p w14:paraId="0FF41827" w14:textId="77777777" w:rsidR="000A29B4" w:rsidRPr="00C725B7" w:rsidRDefault="000A29B4" w:rsidP="00313B62">
                <w:pPr>
                  <w:pStyle w:val="FiBLmrheader"/>
                </w:pPr>
                <w:r>
                  <w:rPr>
                    <w:noProof/>
                    <w:lang w:eastAsia="de-CH"/>
                  </w:rPr>
                  <w:drawing>
                    <wp:inline distT="0" distB="0" distL="0" distR="0" wp14:anchorId="27AC3F1B" wp14:editId="15FDABCE">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3550" w:type="dxa"/>
                <w:vAlign w:val="bottom"/>
              </w:tcPr>
              <w:p w14:paraId="224F4691" w14:textId="77777777" w:rsidR="000A29B4" w:rsidRDefault="000A29B4" w:rsidP="00313B62">
                <w:pPr>
                  <w:tabs>
                    <w:tab w:val="right" w:pos="7653"/>
                  </w:tabs>
                </w:pPr>
              </w:p>
            </w:tc>
            <w:tc>
              <w:tcPr>
                <w:tcW w:w="1894" w:type="dxa"/>
                <w:vAlign w:val="bottom"/>
              </w:tcPr>
              <w:p w14:paraId="5652FD92" w14:textId="77777777" w:rsidR="000A29B4" w:rsidRDefault="000A29B4" w:rsidP="00313B62">
                <w:pPr>
                  <w:tabs>
                    <w:tab w:val="right" w:pos="7653"/>
                  </w:tabs>
                </w:pPr>
              </w:p>
            </w:tc>
            <w:tc>
              <w:tcPr>
                <w:tcW w:w="1894" w:type="dxa"/>
                <w:vAlign w:val="bottom"/>
              </w:tcPr>
              <w:p w14:paraId="48D69C29" w14:textId="77777777" w:rsidR="000A29B4" w:rsidRDefault="000A29B4" w:rsidP="00313B62">
                <w:pPr>
                  <w:tabs>
                    <w:tab w:val="right" w:pos="7653"/>
                  </w:tabs>
                </w:pPr>
              </w:p>
            </w:tc>
          </w:tr>
        </w:tbl>
        <w:p w14:paraId="48E2BACC" w14:textId="77777777" w:rsidR="000A29B4" w:rsidRPr="00C725B7" w:rsidRDefault="000A29B4" w:rsidP="00313B62">
          <w:pPr>
            <w:pStyle w:val="FiBLmrheader"/>
          </w:pPr>
        </w:p>
      </w:tc>
      <w:tc>
        <w:tcPr>
          <w:tcW w:w="3486" w:type="dxa"/>
          <w:vAlign w:val="center"/>
        </w:tcPr>
        <w:p w14:paraId="3D24F243" w14:textId="77777777" w:rsidR="000A29B4" w:rsidRDefault="000A29B4" w:rsidP="00313B62">
          <w:pPr>
            <w:tabs>
              <w:tab w:val="right" w:pos="7653"/>
            </w:tabs>
          </w:pPr>
        </w:p>
      </w:tc>
      <w:tc>
        <w:tcPr>
          <w:tcW w:w="1924" w:type="dxa"/>
          <w:vAlign w:val="center"/>
        </w:tcPr>
        <w:p w14:paraId="4D6EB920" w14:textId="77777777" w:rsidR="000A29B4" w:rsidRDefault="000A29B4" w:rsidP="00313B62">
          <w:pPr>
            <w:tabs>
              <w:tab w:val="right" w:pos="7653"/>
            </w:tabs>
          </w:pPr>
        </w:p>
      </w:tc>
      <w:tc>
        <w:tcPr>
          <w:tcW w:w="1924" w:type="dxa"/>
          <w:vAlign w:val="center"/>
        </w:tcPr>
        <w:p w14:paraId="2BC0D0BA" w14:textId="77777777" w:rsidR="000A29B4" w:rsidRDefault="000A29B4" w:rsidP="00313B62">
          <w:pPr>
            <w:tabs>
              <w:tab w:val="right" w:pos="7653"/>
            </w:tabs>
          </w:pPr>
        </w:p>
      </w:tc>
    </w:tr>
  </w:tbl>
  <w:p w14:paraId="63912985" w14:textId="77777777" w:rsidR="000A29B4" w:rsidRDefault="000A29B4" w:rsidP="00E71FBF">
    <w:pPr>
      <w:tabs>
        <w:tab w:val="right" w:pos="7653"/>
      </w:tabs>
    </w:pPr>
    <w:r w:rsidRPr="00F64C94">
      <w:rPr>
        <w:noProof/>
        <w:lang w:eastAsia="de-CH"/>
      </w:rPr>
      <w:drawing>
        <wp:anchor distT="0" distB="0" distL="114300" distR="114300" simplePos="0" relativeHeight="251658240" behindDoc="0" locked="0" layoutInCell="1" allowOverlap="1" wp14:anchorId="3FB4ABC4" wp14:editId="112E654F">
          <wp:simplePos x="0" y="0"/>
          <wp:positionH relativeFrom="column">
            <wp:posOffset>4486436</wp:posOffset>
          </wp:positionH>
          <wp:positionV relativeFrom="paragraph">
            <wp:posOffset>-459105</wp:posOffset>
          </wp:positionV>
          <wp:extent cx="711200" cy="560705"/>
          <wp:effectExtent l="0" t="0" r="0" b="0"/>
          <wp:wrapNone/>
          <wp:docPr id="6" name="Grafik 6" descr="C:\Users\helga.willer\AppData\Local\Microsoft\Windows\INetCache\Content.Outlook\EAUK74DX\am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ga.willer\AppData\Local\Microsoft\Windows\INetCache\Content.Outlook\EAUK74DX\ami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120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34B208CC"/>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de-CH"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fr-CH"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yNLIwN7E0Nbe0MDFR0lEKTi0uzszPAykwNKoFAJe01gwtAAAA"/>
  </w:docVars>
  <w:rsids>
    <w:rsidRoot w:val="008D48AD"/>
    <w:rsid w:val="00002042"/>
    <w:rsid w:val="000031BB"/>
    <w:rsid w:val="00007999"/>
    <w:rsid w:val="00015F0E"/>
    <w:rsid w:val="00022073"/>
    <w:rsid w:val="0003114A"/>
    <w:rsid w:val="00041610"/>
    <w:rsid w:val="00043BA3"/>
    <w:rsid w:val="00043DF8"/>
    <w:rsid w:val="00062281"/>
    <w:rsid w:val="000641BB"/>
    <w:rsid w:val="0006500E"/>
    <w:rsid w:val="00077078"/>
    <w:rsid w:val="0008157D"/>
    <w:rsid w:val="000839A8"/>
    <w:rsid w:val="000912D9"/>
    <w:rsid w:val="00097E74"/>
    <w:rsid w:val="000A0CF7"/>
    <w:rsid w:val="000A29B4"/>
    <w:rsid w:val="000A3B13"/>
    <w:rsid w:val="000B0DFD"/>
    <w:rsid w:val="000B5156"/>
    <w:rsid w:val="000B5F50"/>
    <w:rsid w:val="000C429D"/>
    <w:rsid w:val="000C42A8"/>
    <w:rsid w:val="000C4932"/>
    <w:rsid w:val="000C52D0"/>
    <w:rsid w:val="000C7401"/>
    <w:rsid w:val="000C75D0"/>
    <w:rsid w:val="000C75FB"/>
    <w:rsid w:val="000D5714"/>
    <w:rsid w:val="000D7A27"/>
    <w:rsid w:val="000F0039"/>
    <w:rsid w:val="00101471"/>
    <w:rsid w:val="0010418E"/>
    <w:rsid w:val="001050BE"/>
    <w:rsid w:val="00105656"/>
    <w:rsid w:val="00107221"/>
    <w:rsid w:val="00107A8E"/>
    <w:rsid w:val="00112E99"/>
    <w:rsid w:val="0012203B"/>
    <w:rsid w:val="00125125"/>
    <w:rsid w:val="001279B5"/>
    <w:rsid w:val="001354F8"/>
    <w:rsid w:val="001355DA"/>
    <w:rsid w:val="00145F0B"/>
    <w:rsid w:val="00146772"/>
    <w:rsid w:val="00147F6C"/>
    <w:rsid w:val="001539C5"/>
    <w:rsid w:val="00160627"/>
    <w:rsid w:val="0017068A"/>
    <w:rsid w:val="00174B82"/>
    <w:rsid w:val="0017595D"/>
    <w:rsid w:val="00175AD5"/>
    <w:rsid w:val="0018097B"/>
    <w:rsid w:val="00181469"/>
    <w:rsid w:val="001819A1"/>
    <w:rsid w:val="001832F2"/>
    <w:rsid w:val="0018434A"/>
    <w:rsid w:val="00186401"/>
    <w:rsid w:val="00195EC7"/>
    <w:rsid w:val="00195EE3"/>
    <w:rsid w:val="00196871"/>
    <w:rsid w:val="001A0C00"/>
    <w:rsid w:val="001B3DB5"/>
    <w:rsid w:val="001B7823"/>
    <w:rsid w:val="001E1C11"/>
    <w:rsid w:val="001E6585"/>
    <w:rsid w:val="001F35B2"/>
    <w:rsid w:val="001F529F"/>
    <w:rsid w:val="00211862"/>
    <w:rsid w:val="002142F8"/>
    <w:rsid w:val="00214908"/>
    <w:rsid w:val="00215C15"/>
    <w:rsid w:val="00217211"/>
    <w:rsid w:val="0021744A"/>
    <w:rsid w:val="002203DD"/>
    <w:rsid w:val="0022639B"/>
    <w:rsid w:val="002302C3"/>
    <w:rsid w:val="00230924"/>
    <w:rsid w:val="002328D4"/>
    <w:rsid w:val="00232993"/>
    <w:rsid w:val="002348DF"/>
    <w:rsid w:val="0023521E"/>
    <w:rsid w:val="00245F21"/>
    <w:rsid w:val="00254F8D"/>
    <w:rsid w:val="002611D7"/>
    <w:rsid w:val="00271C9A"/>
    <w:rsid w:val="00272E08"/>
    <w:rsid w:val="00280674"/>
    <w:rsid w:val="0028305F"/>
    <w:rsid w:val="00283296"/>
    <w:rsid w:val="002837D9"/>
    <w:rsid w:val="00291FFE"/>
    <w:rsid w:val="002925F1"/>
    <w:rsid w:val="00293A28"/>
    <w:rsid w:val="002A7906"/>
    <w:rsid w:val="002B1D53"/>
    <w:rsid w:val="002B7322"/>
    <w:rsid w:val="002C0814"/>
    <w:rsid w:val="002C3506"/>
    <w:rsid w:val="002C5103"/>
    <w:rsid w:val="002D04EC"/>
    <w:rsid w:val="002D0D71"/>
    <w:rsid w:val="002D344B"/>
    <w:rsid w:val="002D757B"/>
    <w:rsid w:val="002D75D5"/>
    <w:rsid w:val="002D7D78"/>
    <w:rsid w:val="002D7F1B"/>
    <w:rsid w:val="002E7102"/>
    <w:rsid w:val="002E730F"/>
    <w:rsid w:val="002E78C0"/>
    <w:rsid w:val="002F0D8C"/>
    <w:rsid w:val="002F1625"/>
    <w:rsid w:val="002F4992"/>
    <w:rsid w:val="002F586A"/>
    <w:rsid w:val="002F6F0B"/>
    <w:rsid w:val="0030119E"/>
    <w:rsid w:val="00304682"/>
    <w:rsid w:val="00306A70"/>
    <w:rsid w:val="00311E06"/>
    <w:rsid w:val="00313532"/>
    <w:rsid w:val="00313B62"/>
    <w:rsid w:val="003150C5"/>
    <w:rsid w:val="003176F7"/>
    <w:rsid w:val="00323F0F"/>
    <w:rsid w:val="00334323"/>
    <w:rsid w:val="00344B27"/>
    <w:rsid w:val="00357CC7"/>
    <w:rsid w:val="00376D74"/>
    <w:rsid w:val="003810FD"/>
    <w:rsid w:val="00385FF2"/>
    <w:rsid w:val="00387804"/>
    <w:rsid w:val="003907CE"/>
    <w:rsid w:val="003A1BA8"/>
    <w:rsid w:val="003A4191"/>
    <w:rsid w:val="003A65CB"/>
    <w:rsid w:val="003C1747"/>
    <w:rsid w:val="003C6406"/>
    <w:rsid w:val="003D1138"/>
    <w:rsid w:val="003E5BCB"/>
    <w:rsid w:val="003F25F6"/>
    <w:rsid w:val="003F7D09"/>
    <w:rsid w:val="00400CA5"/>
    <w:rsid w:val="00404EF3"/>
    <w:rsid w:val="004106A4"/>
    <w:rsid w:val="00411DEF"/>
    <w:rsid w:val="0041671F"/>
    <w:rsid w:val="00416BA5"/>
    <w:rsid w:val="00423C89"/>
    <w:rsid w:val="00426F16"/>
    <w:rsid w:val="004320E4"/>
    <w:rsid w:val="004324AF"/>
    <w:rsid w:val="004339A3"/>
    <w:rsid w:val="00435155"/>
    <w:rsid w:val="0044286A"/>
    <w:rsid w:val="004441B5"/>
    <w:rsid w:val="00446B90"/>
    <w:rsid w:val="00450F2F"/>
    <w:rsid w:val="00453BD9"/>
    <w:rsid w:val="004570C7"/>
    <w:rsid w:val="0045715C"/>
    <w:rsid w:val="00457234"/>
    <w:rsid w:val="00465871"/>
    <w:rsid w:val="0046602F"/>
    <w:rsid w:val="004660E3"/>
    <w:rsid w:val="00466809"/>
    <w:rsid w:val="00472118"/>
    <w:rsid w:val="004731CA"/>
    <w:rsid w:val="004762FE"/>
    <w:rsid w:val="004807B1"/>
    <w:rsid w:val="00480A91"/>
    <w:rsid w:val="004814C4"/>
    <w:rsid w:val="004950D8"/>
    <w:rsid w:val="004A0638"/>
    <w:rsid w:val="004A29E0"/>
    <w:rsid w:val="004B2393"/>
    <w:rsid w:val="004C4067"/>
    <w:rsid w:val="004D1BBF"/>
    <w:rsid w:val="004D3F73"/>
    <w:rsid w:val="004D3FEF"/>
    <w:rsid w:val="004D4991"/>
    <w:rsid w:val="004D514C"/>
    <w:rsid w:val="004D6428"/>
    <w:rsid w:val="004E26A3"/>
    <w:rsid w:val="004E4FB7"/>
    <w:rsid w:val="004F01AB"/>
    <w:rsid w:val="004F2569"/>
    <w:rsid w:val="004F613F"/>
    <w:rsid w:val="005019B0"/>
    <w:rsid w:val="005023AF"/>
    <w:rsid w:val="00503FD2"/>
    <w:rsid w:val="00506D9D"/>
    <w:rsid w:val="00514627"/>
    <w:rsid w:val="00521C98"/>
    <w:rsid w:val="00527CF1"/>
    <w:rsid w:val="0053137D"/>
    <w:rsid w:val="00537C2B"/>
    <w:rsid w:val="00540B0E"/>
    <w:rsid w:val="00540DAE"/>
    <w:rsid w:val="00544EA9"/>
    <w:rsid w:val="00546AE8"/>
    <w:rsid w:val="00547C35"/>
    <w:rsid w:val="00550B65"/>
    <w:rsid w:val="00555C7D"/>
    <w:rsid w:val="00566983"/>
    <w:rsid w:val="00567811"/>
    <w:rsid w:val="00571E3B"/>
    <w:rsid w:val="00577FFB"/>
    <w:rsid w:val="00580C94"/>
    <w:rsid w:val="00582FE9"/>
    <w:rsid w:val="00583E40"/>
    <w:rsid w:val="00584129"/>
    <w:rsid w:val="005867AD"/>
    <w:rsid w:val="005909ED"/>
    <w:rsid w:val="005938C8"/>
    <w:rsid w:val="0059401F"/>
    <w:rsid w:val="00595DB8"/>
    <w:rsid w:val="005A104C"/>
    <w:rsid w:val="005A7CBB"/>
    <w:rsid w:val="005B675F"/>
    <w:rsid w:val="005B74F9"/>
    <w:rsid w:val="005C344D"/>
    <w:rsid w:val="005D0989"/>
    <w:rsid w:val="005D65C1"/>
    <w:rsid w:val="005D7265"/>
    <w:rsid w:val="005E2D32"/>
    <w:rsid w:val="005F1359"/>
    <w:rsid w:val="005F2A5C"/>
    <w:rsid w:val="005F460D"/>
    <w:rsid w:val="005F4CAA"/>
    <w:rsid w:val="005F5A7E"/>
    <w:rsid w:val="005F7031"/>
    <w:rsid w:val="0060078C"/>
    <w:rsid w:val="006063DB"/>
    <w:rsid w:val="00607BD3"/>
    <w:rsid w:val="00613117"/>
    <w:rsid w:val="006163C2"/>
    <w:rsid w:val="00623F17"/>
    <w:rsid w:val="00626731"/>
    <w:rsid w:val="00633F07"/>
    <w:rsid w:val="00635608"/>
    <w:rsid w:val="00640EDC"/>
    <w:rsid w:val="006410F4"/>
    <w:rsid w:val="00646E4A"/>
    <w:rsid w:val="006477C1"/>
    <w:rsid w:val="00647922"/>
    <w:rsid w:val="006520EE"/>
    <w:rsid w:val="006569B3"/>
    <w:rsid w:val="00661678"/>
    <w:rsid w:val="0066529D"/>
    <w:rsid w:val="00680B5D"/>
    <w:rsid w:val="00681E9E"/>
    <w:rsid w:val="006848D5"/>
    <w:rsid w:val="00686D1E"/>
    <w:rsid w:val="00693F94"/>
    <w:rsid w:val="00697BB6"/>
    <w:rsid w:val="006A0CBC"/>
    <w:rsid w:val="006A40F6"/>
    <w:rsid w:val="006C0026"/>
    <w:rsid w:val="006C6F92"/>
    <w:rsid w:val="006D0FF6"/>
    <w:rsid w:val="006D4D11"/>
    <w:rsid w:val="006D7225"/>
    <w:rsid w:val="006E5C54"/>
    <w:rsid w:val="006E612A"/>
    <w:rsid w:val="006E7D72"/>
    <w:rsid w:val="007000BE"/>
    <w:rsid w:val="00712776"/>
    <w:rsid w:val="00713D44"/>
    <w:rsid w:val="00714F62"/>
    <w:rsid w:val="0071726B"/>
    <w:rsid w:val="007238EA"/>
    <w:rsid w:val="00727486"/>
    <w:rsid w:val="007322ED"/>
    <w:rsid w:val="00736F11"/>
    <w:rsid w:val="00754508"/>
    <w:rsid w:val="00754FAE"/>
    <w:rsid w:val="00757B52"/>
    <w:rsid w:val="00764E69"/>
    <w:rsid w:val="00766081"/>
    <w:rsid w:val="007666E3"/>
    <w:rsid w:val="00770538"/>
    <w:rsid w:val="00783BE6"/>
    <w:rsid w:val="00787584"/>
    <w:rsid w:val="0078787E"/>
    <w:rsid w:val="00793238"/>
    <w:rsid w:val="00797B79"/>
    <w:rsid w:val="007A051D"/>
    <w:rsid w:val="007A0D20"/>
    <w:rsid w:val="007A672B"/>
    <w:rsid w:val="007C03B3"/>
    <w:rsid w:val="007C1515"/>
    <w:rsid w:val="007C4B79"/>
    <w:rsid w:val="007C6110"/>
    <w:rsid w:val="007C7E19"/>
    <w:rsid w:val="007E6D27"/>
    <w:rsid w:val="007E7DF5"/>
    <w:rsid w:val="007F4019"/>
    <w:rsid w:val="00801AA6"/>
    <w:rsid w:val="00802525"/>
    <w:rsid w:val="00806A24"/>
    <w:rsid w:val="008100C8"/>
    <w:rsid w:val="00812E0B"/>
    <w:rsid w:val="008160BA"/>
    <w:rsid w:val="00817B94"/>
    <w:rsid w:val="00823157"/>
    <w:rsid w:val="008257A8"/>
    <w:rsid w:val="008325CB"/>
    <w:rsid w:val="00834AF5"/>
    <w:rsid w:val="008370EE"/>
    <w:rsid w:val="008417D3"/>
    <w:rsid w:val="00845226"/>
    <w:rsid w:val="0084635F"/>
    <w:rsid w:val="008548A2"/>
    <w:rsid w:val="00854B75"/>
    <w:rsid w:val="00860CB4"/>
    <w:rsid w:val="00861053"/>
    <w:rsid w:val="00866E96"/>
    <w:rsid w:val="00871815"/>
    <w:rsid w:val="00872371"/>
    <w:rsid w:val="00880FB5"/>
    <w:rsid w:val="0088216A"/>
    <w:rsid w:val="008A3482"/>
    <w:rsid w:val="008A5E8C"/>
    <w:rsid w:val="008A68DF"/>
    <w:rsid w:val="008A6B50"/>
    <w:rsid w:val="008B7311"/>
    <w:rsid w:val="008D33E5"/>
    <w:rsid w:val="008D48AD"/>
    <w:rsid w:val="008E1B8D"/>
    <w:rsid w:val="008E7F9F"/>
    <w:rsid w:val="008F0EE1"/>
    <w:rsid w:val="009034D2"/>
    <w:rsid w:val="00910553"/>
    <w:rsid w:val="009109C1"/>
    <w:rsid w:val="00912F05"/>
    <w:rsid w:val="00932890"/>
    <w:rsid w:val="00937648"/>
    <w:rsid w:val="00941163"/>
    <w:rsid w:val="0094480E"/>
    <w:rsid w:val="009669B5"/>
    <w:rsid w:val="009750FD"/>
    <w:rsid w:val="009767BF"/>
    <w:rsid w:val="00977A8E"/>
    <w:rsid w:val="00977D13"/>
    <w:rsid w:val="009800DE"/>
    <w:rsid w:val="00980CCC"/>
    <w:rsid w:val="00981742"/>
    <w:rsid w:val="00982A03"/>
    <w:rsid w:val="00986D82"/>
    <w:rsid w:val="00986F71"/>
    <w:rsid w:val="009905D4"/>
    <w:rsid w:val="00990D51"/>
    <w:rsid w:val="00996C6A"/>
    <w:rsid w:val="009A52C4"/>
    <w:rsid w:val="009B0C59"/>
    <w:rsid w:val="009B1E1D"/>
    <w:rsid w:val="009B738F"/>
    <w:rsid w:val="009C0B90"/>
    <w:rsid w:val="009C0F61"/>
    <w:rsid w:val="009C26C0"/>
    <w:rsid w:val="009C7E54"/>
    <w:rsid w:val="009D6D52"/>
    <w:rsid w:val="009E3E09"/>
    <w:rsid w:val="009E747E"/>
    <w:rsid w:val="009F12FB"/>
    <w:rsid w:val="009F1AD7"/>
    <w:rsid w:val="009F306E"/>
    <w:rsid w:val="00A00192"/>
    <w:rsid w:val="00A033E7"/>
    <w:rsid w:val="00A04B53"/>
    <w:rsid w:val="00A04F66"/>
    <w:rsid w:val="00A056D1"/>
    <w:rsid w:val="00A0635F"/>
    <w:rsid w:val="00A103FB"/>
    <w:rsid w:val="00A104A6"/>
    <w:rsid w:val="00A135C6"/>
    <w:rsid w:val="00A21AE7"/>
    <w:rsid w:val="00A32159"/>
    <w:rsid w:val="00A32598"/>
    <w:rsid w:val="00A365ED"/>
    <w:rsid w:val="00A53402"/>
    <w:rsid w:val="00A54AC7"/>
    <w:rsid w:val="00A57050"/>
    <w:rsid w:val="00A60037"/>
    <w:rsid w:val="00A624F0"/>
    <w:rsid w:val="00A632FC"/>
    <w:rsid w:val="00A63717"/>
    <w:rsid w:val="00A64025"/>
    <w:rsid w:val="00A75536"/>
    <w:rsid w:val="00A80F3A"/>
    <w:rsid w:val="00A83320"/>
    <w:rsid w:val="00A84D76"/>
    <w:rsid w:val="00AA1040"/>
    <w:rsid w:val="00AA295A"/>
    <w:rsid w:val="00AB4B2A"/>
    <w:rsid w:val="00AC6487"/>
    <w:rsid w:val="00AC683F"/>
    <w:rsid w:val="00AD1C24"/>
    <w:rsid w:val="00AD5653"/>
    <w:rsid w:val="00AD5FAE"/>
    <w:rsid w:val="00AE0BFC"/>
    <w:rsid w:val="00AF3612"/>
    <w:rsid w:val="00AF68F0"/>
    <w:rsid w:val="00B00215"/>
    <w:rsid w:val="00B07CCE"/>
    <w:rsid w:val="00B116CC"/>
    <w:rsid w:val="00B11B61"/>
    <w:rsid w:val="00B12B9B"/>
    <w:rsid w:val="00B15BC3"/>
    <w:rsid w:val="00B169A5"/>
    <w:rsid w:val="00B221D3"/>
    <w:rsid w:val="00B23022"/>
    <w:rsid w:val="00B233E6"/>
    <w:rsid w:val="00B23768"/>
    <w:rsid w:val="00B25F0B"/>
    <w:rsid w:val="00B273DE"/>
    <w:rsid w:val="00B37E7F"/>
    <w:rsid w:val="00B44024"/>
    <w:rsid w:val="00B559BF"/>
    <w:rsid w:val="00B61443"/>
    <w:rsid w:val="00B63C88"/>
    <w:rsid w:val="00B8078A"/>
    <w:rsid w:val="00B81388"/>
    <w:rsid w:val="00B85ECA"/>
    <w:rsid w:val="00B90724"/>
    <w:rsid w:val="00B90EB6"/>
    <w:rsid w:val="00BA73AE"/>
    <w:rsid w:val="00BB058F"/>
    <w:rsid w:val="00BB6309"/>
    <w:rsid w:val="00BB6809"/>
    <w:rsid w:val="00BB7AF8"/>
    <w:rsid w:val="00BC05AC"/>
    <w:rsid w:val="00BC1BE7"/>
    <w:rsid w:val="00BC5D34"/>
    <w:rsid w:val="00BC5FC0"/>
    <w:rsid w:val="00BC69C8"/>
    <w:rsid w:val="00BD31EA"/>
    <w:rsid w:val="00BE284C"/>
    <w:rsid w:val="00BF01F2"/>
    <w:rsid w:val="00BF2E82"/>
    <w:rsid w:val="00C00E6E"/>
    <w:rsid w:val="00C01B68"/>
    <w:rsid w:val="00C10742"/>
    <w:rsid w:val="00C1118E"/>
    <w:rsid w:val="00C14AA4"/>
    <w:rsid w:val="00C20662"/>
    <w:rsid w:val="00C21CF4"/>
    <w:rsid w:val="00C226B5"/>
    <w:rsid w:val="00C27440"/>
    <w:rsid w:val="00C329AC"/>
    <w:rsid w:val="00C3309F"/>
    <w:rsid w:val="00C35583"/>
    <w:rsid w:val="00C42B0B"/>
    <w:rsid w:val="00C4331B"/>
    <w:rsid w:val="00C50896"/>
    <w:rsid w:val="00C54E7B"/>
    <w:rsid w:val="00C71277"/>
    <w:rsid w:val="00C725B7"/>
    <w:rsid w:val="00C73E52"/>
    <w:rsid w:val="00C8256D"/>
    <w:rsid w:val="00C92DC4"/>
    <w:rsid w:val="00C93A6C"/>
    <w:rsid w:val="00CB2F27"/>
    <w:rsid w:val="00CB3AD1"/>
    <w:rsid w:val="00CB6F98"/>
    <w:rsid w:val="00CC13F5"/>
    <w:rsid w:val="00CC3D03"/>
    <w:rsid w:val="00CC46FE"/>
    <w:rsid w:val="00CD288D"/>
    <w:rsid w:val="00CD4B01"/>
    <w:rsid w:val="00CD6998"/>
    <w:rsid w:val="00CD69F7"/>
    <w:rsid w:val="00CE1A38"/>
    <w:rsid w:val="00CE1E5F"/>
    <w:rsid w:val="00CE3525"/>
    <w:rsid w:val="00CE5EA1"/>
    <w:rsid w:val="00CE703A"/>
    <w:rsid w:val="00CF4CEC"/>
    <w:rsid w:val="00CF6598"/>
    <w:rsid w:val="00D04CCE"/>
    <w:rsid w:val="00D06A9E"/>
    <w:rsid w:val="00D0775C"/>
    <w:rsid w:val="00D142E7"/>
    <w:rsid w:val="00D15A3B"/>
    <w:rsid w:val="00D16E3C"/>
    <w:rsid w:val="00D20589"/>
    <w:rsid w:val="00D21A0A"/>
    <w:rsid w:val="00D25E6E"/>
    <w:rsid w:val="00D272D2"/>
    <w:rsid w:val="00D301BD"/>
    <w:rsid w:val="00D311F3"/>
    <w:rsid w:val="00D32E71"/>
    <w:rsid w:val="00D35602"/>
    <w:rsid w:val="00D378CC"/>
    <w:rsid w:val="00D41E23"/>
    <w:rsid w:val="00D447BA"/>
    <w:rsid w:val="00D5665E"/>
    <w:rsid w:val="00D61A9A"/>
    <w:rsid w:val="00D62262"/>
    <w:rsid w:val="00D629B8"/>
    <w:rsid w:val="00D71A45"/>
    <w:rsid w:val="00D7727C"/>
    <w:rsid w:val="00D82FEC"/>
    <w:rsid w:val="00D84B91"/>
    <w:rsid w:val="00D87997"/>
    <w:rsid w:val="00DA14CE"/>
    <w:rsid w:val="00DA3FA8"/>
    <w:rsid w:val="00DA4CF7"/>
    <w:rsid w:val="00DA5D86"/>
    <w:rsid w:val="00DA7216"/>
    <w:rsid w:val="00DB3900"/>
    <w:rsid w:val="00DB6EFB"/>
    <w:rsid w:val="00DC061C"/>
    <w:rsid w:val="00DC15AC"/>
    <w:rsid w:val="00DD0000"/>
    <w:rsid w:val="00DD3850"/>
    <w:rsid w:val="00DD4377"/>
    <w:rsid w:val="00DE3617"/>
    <w:rsid w:val="00DE44EA"/>
    <w:rsid w:val="00DF2620"/>
    <w:rsid w:val="00DF2DF6"/>
    <w:rsid w:val="00E06042"/>
    <w:rsid w:val="00E256CD"/>
    <w:rsid w:val="00E26382"/>
    <w:rsid w:val="00E32B51"/>
    <w:rsid w:val="00E34E1A"/>
    <w:rsid w:val="00E433A3"/>
    <w:rsid w:val="00E451EE"/>
    <w:rsid w:val="00E47B86"/>
    <w:rsid w:val="00E64975"/>
    <w:rsid w:val="00E65F65"/>
    <w:rsid w:val="00E71BBC"/>
    <w:rsid w:val="00E71FBF"/>
    <w:rsid w:val="00E76CCB"/>
    <w:rsid w:val="00E876D5"/>
    <w:rsid w:val="00E902F3"/>
    <w:rsid w:val="00E937E8"/>
    <w:rsid w:val="00EA6FCE"/>
    <w:rsid w:val="00EB5787"/>
    <w:rsid w:val="00EB5F63"/>
    <w:rsid w:val="00EB6B1C"/>
    <w:rsid w:val="00EC19C4"/>
    <w:rsid w:val="00EC3302"/>
    <w:rsid w:val="00EC52BE"/>
    <w:rsid w:val="00ED0946"/>
    <w:rsid w:val="00ED45AF"/>
    <w:rsid w:val="00EF1068"/>
    <w:rsid w:val="00EF1422"/>
    <w:rsid w:val="00EF1BCC"/>
    <w:rsid w:val="00EF726D"/>
    <w:rsid w:val="00F04498"/>
    <w:rsid w:val="00F07B60"/>
    <w:rsid w:val="00F1030B"/>
    <w:rsid w:val="00F1384B"/>
    <w:rsid w:val="00F142B2"/>
    <w:rsid w:val="00F157E2"/>
    <w:rsid w:val="00F21C5E"/>
    <w:rsid w:val="00F26625"/>
    <w:rsid w:val="00F463DB"/>
    <w:rsid w:val="00F519E9"/>
    <w:rsid w:val="00F51D7F"/>
    <w:rsid w:val="00F53AA9"/>
    <w:rsid w:val="00F56F82"/>
    <w:rsid w:val="00F61C44"/>
    <w:rsid w:val="00F620F0"/>
    <w:rsid w:val="00F6745D"/>
    <w:rsid w:val="00F678FA"/>
    <w:rsid w:val="00F73377"/>
    <w:rsid w:val="00FA0C71"/>
    <w:rsid w:val="00FA25B6"/>
    <w:rsid w:val="00FA28EF"/>
    <w:rsid w:val="00FA3D68"/>
    <w:rsid w:val="00FB31AF"/>
    <w:rsid w:val="00FB36B7"/>
    <w:rsid w:val="00FC17EA"/>
    <w:rsid w:val="00FC7C7B"/>
    <w:rsid w:val="00FD4EE6"/>
    <w:rsid w:val="00FD5152"/>
    <w:rsid w:val="00FD55BE"/>
    <w:rsid w:val="00FE2013"/>
    <w:rsid w:val="00FF6B6A"/>
    <w:rsid w:val="00FF744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1C0329"/>
  <w15:docId w15:val="{4CA1C884-857A-4EA8-8568-204A296B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C21CF4"/>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table" w:styleId="HelleSchattierung-Akzent1">
    <w:name w:val="Light Shading Accent 1"/>
    <w:basedOn w:val="NormaleTabelle"/>
    <w:uiPriority w:val="60"/>
    <w:rsid w:val="00697BB6"/>
    <w:pPr>
      <w:spacing w:after="0" w:line="240" w:lineRule="auto"/>
    </w:pPr>
    <w:tblPr>
      <w:tblStyleRowBandSize w:val="1"/>
      <w:tblStyleColBandSize w:val="1"/>
      <w:tblBorders>
        <w:top w:val="single" w:sz="8" w:space="0" w:color="2F6C86"/>
        <w:bottom w:val="single" w:sz="8" w:space="0" w:color="2F6C86"/>
      </w:tblBorders>
    </w:tblPr>
    <w:tblStylePr w:type="firstRow">
      <w:pPr>
        <w:spacing w:before="0" w:after="0" w:line="240" w:lineRule="auto"/>
      </w:pPr>
      <w:rPr>
        <w:b/>
        <w:bCs/>
      </w:rPr>
      <w:tblPr/>
      <w:tcPr>
        <w:tcBorders>
          <w:top w:val="single" w:sz="8" w:space="0" w:color="2F6C86"/>
          <w:left w:val="nil"/>
          <w:bottom w:val="single" w:sz="8" w:space="0" w:color="2F6C86"/>
          <w:right w:val="nil"/>
          <w:insideH w:val="nil"/>
          <w:insideV w:val="nil"/>
        </w:tcBorders>
      </w:tcPr>
    </w:tblStylePr>
    <w:tblStylePr w:type="lastRow">
      <w:pPr>
        <w:spacing w:before="0" w:after="0" w:line="240" w:lineRule="auto"/>
      </w:pPr>
      <w:rPr>
        <w:b/>
        <w:bCs/>
      </w:rPr>
      <w:tblPr/>
      <w:tcPr>
        <w:tcBorders>
          <w:top w:val="single" w:sz="8" w:space="0" w:color="2F6C86"/>
          <w:left w:val="nil"/>
          <w:bottom w:val="single" w:sz="8" w:space="0" w:color="2F6C86"/>
          <w:right w:val="nil"/>
          <w:insideH w:val="nil"/>
          <w:insideV w:val="nil"/>
        </w:tcBorders>
      </w:tcPr>
    </w:tblStylePr>
    <w:tblStylePr w:type="firstCol">
      <w:rPr>
        <w:b/>
        <w:bCs/>
      </w:rPr>
    </w:tblStylePr>
    <w:tblStylePr w:type="lastCol">
      <w:rPr>
        <w:b/>
        <w:bCs/>
      </w:rPr>
    </w:tblStylePr>
    <w:tblStylePr w:type="band1Vert">
      <w:tblPr/>
      <w:tcPr>
        <w:shd w:val="clear" w:color="auto" w:fill="BEDBE8"/>
      </w:tcPr>
    </w:tblStylePr>
    <w:tblStylePr w:type="band1Horz">
      <w:tblPr/>
      <w:tcPr>
        <w:shd w:val="clear" w:color="auto" w:fill="BEDBE8"/>
      </w:tcPr>
    </w:tblStylePr>
  </w:style>
  <w:style w:type="paragraph" w:customStyle="1" w:styleId="woa-table-text">
    <w:name w:val="woa-table-text"/>
    <w:basedOn w:val="Standard"/>
    <w:link w:val="woa-table-textChar"/>
    <w:qFormat/>
    <w:rsid w:val="00215C15"/>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character" w:customStyle="1" w:styleId="woa-table-textChar">
    <w:name w:val="woa-table-text Char"/>
    <w:link w:val="woa-table-text"/>
    <w:rsid w:val="00215C15"/>
    <w:rPr>
      <w:rFonts w:ascii="Gill Sans MT" w:eastAsia="MS Mincho" w:hAnsi="Gill Sans MT" w:cs="Times New Roman"/>
      <w:snapToGrid w:val="0"/>
      <w:color w:val="000000"/>
      <w:sz w:val="15"/>
      <w:szCs w:val="12"/>
      <w:lang w:val="en-US" w:eastAsia="x-none"/>
    </w:rPr>
  </w:style>
  <w:style w:type="character" w:styleId="Kommentarzeichen">
    <w:name w:val="annotation reference"/>
    <w:basedOn w:val="Absatz-Standardschriftart"/>
    <w:uiPriority w:val="99"/>
    <w:semiHidden/>
    <w:unhideWhenUsed/>
    <w:rsid w:val="00293A28"/>
    <w:rPr>
      <w:sz w:val="16"/>
      <w:szCs w:val="16"/>
    </w:rPr>
  </w:style>
  <w:style w:type="paragraph" w:styleId="Kommentartext">
    <w:name w:val="annotation text"/>
    <w:basedOn w:val="Standard"/>
    <w:link w:val="KommentartextZchn"/>
    <w:uiPriority w:val="99"/>
    <w:semiHidden/>
    <w:unhideWhenUsed/>
    <w:rsid w:val="00293A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3A28"/>
    <w:rPr>
      <w:sz w:val="20"/>
      <w:szCs w:val="20"/>
    </w:rPr>
  </w:style>
  <w:style w:type="paragraph" w:styleId="Kommentarthema">
    <w:name w:val="annotation subject"/>
    <w:basedOn w:val="Kommentartext"/>
    <w:next w:val="Kommentartext"/>
    <w:link w:val="KommentarthemaZchn"/>
    <w:uiPriority w:val="99"/>
    <w:semiHidden/>
    <w:unhideWhenUsed/>
    <w:rsid w:val="00293A28"/>
    <w:rPr>
      <w:b/>
      <w:bCs/>
    </w:rPr>
  </w:style>
  <w:style w:type="character" w:customStyle="1" w:styleId="KommentarthemaZchn">
    <w:name w:val="Kommentarthema Zchn"/>
    <w:basedOn w:val="KommentartextZchn"/>
    <w:link w:val="Kommentarthema"/>
    <w:uiPriority w:val="99"/>
    <w:semiHidden/>
    <w:rsid w:val="00293A28"/>
    <w:rPr>
      <w:b/>
      <w:bCs/>
      <w:sz w:val="20"/>
      <w:szCs w:val="20"/>
    </w:rPr>
  </w:style>
  <w:style w:type="character" w:customStyle="1" w:styleId="UnresolvedMention">
    <w:name w:val="Unresolved Mention"/>
    <w:basedOn w:val="Absatz-Standardschriftart"/>
    <w:uiPriority w:val="99"/>
    <w:semiHidden/>
    <w:unhideWhenUsed/>
    <w:rsid w:val="00DB6EFB"/>
    <w:rPr>
      <w:color w:val="605E5C"/>
      <w:shd w:val="clear" w:color="auto" w:fill="E1DFDD"/>
    </w:rPr>
  </w:style>
  <w:style w:type="paragraph" w:customStyle="1" w:styleId="FiBLmmerluterung">
    <w:name w:val="FiBL_mm_erläuterung"/>
    <w:basedOn w:val="Standard"/>
    <w:qFormat/>
    <w:rsid w:val="005019B0"/>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ga.willer@fibl.org" TargetMode="External"/><Relationship Id="rId18" Type="http://schemas.openxmlformats.org/officeDocument/2006/relationships/hyperlink" Target="https://statistics.fibl.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youtube.com/watch?v=ZYWxUGPHgZ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ganic-world.net/yearbook/yearbook-2020/infographics.html"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ami-informiert.de" TargetMode="Externa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mailto:diana.schaack@ami-informiert.de"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20https://www.fibl.org/fr/infotheque/media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bl.org"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A549-99F8-4875-885B-68DEBC2BF4A4}">
  <ds:schemaRefs>
    <ds:schemaRef ds:uri="926ccd4c-651f-4ccc-af87-3950eef9fdad"/>
    <ds:schemaRef ds:uri="http://www.w3.org/XML/1998/namespace"/>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dd18740c-b141-4d05-9751-e9f3dcf7e76f"/>
    <ds:schemaRef ds:uri="http://purl.org/dc/dcmitype/"/>
  </ds:schemaRefs>
</ds:datastoreItem>
</file>

<file path=customXml/itemProps2.xml><?xml version="1.0" encoding="utf-8"?>
<ds:datastoreItem xmlns:ds="http://schemas.openxmlformats.org/officeDocument/2006/customXml" ds:itemID="{73C42EF3-CB1F-4D35-BA7B-C53C1456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4.xml><?xml version="1.0" encoding="utf-8"?>
<ds:datastoreItem xmlns:ds="http://schemas.openxmlformats.org/officeDocument/2006/customXml" ds:itemID="{7DF88B87-E7F0-4213-A9D2-B0B29C62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1387</Words>
  <Characters>8745</Characters>
  <Application>Microsoft Office Word</Application>
  <DocSecurity>0</DocSecurity>
  <Lines>72</Lines>
  <Paragraphs>20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Communiqué aux médias "Le bio toujours en croissance en Europe"</vt:lpstr>
      <vt:lpstr>Bio in Europa legt weiter zu</vt:lpstr>
      <vt:lpstr>Template for creating a media release (only members of the Communication group)</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"Le bio toujours en croissance en Europe"</dc:title>
  <dc:creator>Basler Andreas</dc:creator>
  <cp:lastModifiedBy>Basler Andreas</cp:lastModifiedBy>
  <cp:revision>12</cp:revision>
  <cp:lastPrinted>2020-02-12T10:08:00Z</cp:lastPrinted>
  <dcterms:created xsi:type="dcterms:W3CDTF">2020-02-11T14:17:00Z</dcterms:created>
  <dcterms:modified xsi:type="dcterms:W3CDTF">2020-02-13T12:08:00Z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