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01718" w14:textId="5A371C0F" w:rsidR="004762FE" w:rsidRPr="007470BA" w:rsidRDefault="00855E5E" w:rsidP="003E5C36">
      <w:pPr>
        <w:pStyle w:val="FiBLmmzwischentitel"/>
        <w:rPr>
          <w:lang w:val="fr-CH"/>
        </w:rPr>
        <w:sectPr w:rsidR="004762FE" w:rsidRPr="007470BA" w:rsidSect="001B31D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268" w:right="1701" w:bottom="1701" w:left="1701" w:header="1134" w:footer="567" w:gutter="0"/>
          <w:cols w:space="708"/>
          <w:docGrid w:linePitch="360"/>
        </w:sectPr>
      </w:pPr>
      <w:r w:rsidRPr="007470BA">
        <w:rPr>
          <w:lang w:val="fr-CH"/>
        </w:rPr>
        <w:t>Communiqué aux médias</w:t>
      </w:r>
    </w:p>
    <w:p w14:paraId="749B644D" w14:textId="054AB553" w:rsidR="00F7314A" w:rsidRPr="007470BA" w:rsidRDefault="00F7314A" w:rsidP="00F7314A">
      <w:pPr>
        <w:pStyle w:val="FiBLmmtitel"/>
        <w:rPr>
          <w:lang w:val="fr-CH"/>
        </w:rPr>
      </w:pPr>
      <w:r w:rsidRPr="007470BA">
        <w:rPr>
          <w:lang w:val="fr-CH"/>
        </w:rPr>
        <w:t xml:space="preserve">Le FiBL salue la stratégie </w:t>
      </w:r>
      <w:proofErr w:type="spellStart"/>
      <w:r w:rsidRPr="007470BA">
        <w:rPr>
          <w:i/>
          <w:iCs/>
          <w:lang w:val="fr-CH"/>
        </w:rPr>
        <w:t>Farm</w:t>
      </w:r>
      <w:proofErr w:type="spellEnd"/>
      <w:r w:rsidRPr="007470BA">
        <w:rPr>
          <w:i/>
          <w:iCs/>
          <w:lang w:val="fr-CH"/>
        </w:rPr>
        <w:t xml:space="preserve"> to Fork</w:t>
      </w:r>
      <w:r w:rsidRPr="007470BA">
        <w:rPr>
          <w:lang w:val="fr-CH"/>
        </w:rPr>
        <w:t xml:space="preserve"> de l’UE: </w:t>
      </w:r>
      <w:r w:rsidR="000B007A">
        <w:rPr>
          <w:lang w:val="fr-CH"/>
        </w:rPr>
        <w:br/>
      </w:r>
      <w:r w:rsidRPr="007470BA">
        <w:rPr>
          <w:lang w:val="fr-CH"/>
        </w:rPr>
        <w:t>25 % de terres cultivées en bio d’ici 2030</w:t>
      </w:r>
    </w:p>
    <w:p w14:paraId="0863DC61" w14:textId="1A538D30" w:rsidR="00F7314A" w:rsidRPr="007470BA" w:rsidRDefault="00F7314A" w:rsidP="00F7314A">
      <w:pPr>
        <w:pStyle w:val="FiBLmmlead"/>
        <w:rPr>
          <w:lang w:val="fr-CH"/>
        </w:rPr>
      </w:pPr>
      <w:r w:rsidRPr="007470BA">
        <w:rPr>
          <w:lang w:val="fr-CH"/>
        </w:rPr>
        <w:t xml:space="preserve">La nouvelle stratégie </w:t>
      </w:r>
      <w:proofErr w:type="spellStart"/>
      <w:r w:rsidRPr="007470BA">
        <w:rPr>
          <w:i/>
          <w:iCs/>
          <w:lang w:val="fr-CH"/>
        </w:rPr>
        <w:t>Farm</w:t>
      </w:r>
      <w:proofErr w:type="spellEnd"/>
      <w:r w:rsidRPr="007470BA">
        <w:rPr>
          <w:i/>
          <w:iCs/>
          <w:lang w:val="fr-CH"/>
        </w:rPr>
        <w:t xml:space="preserve"> to Fork</w:t>
      </w:r>
      <w:r w:rsidRPr="007470BA">
        <w:rPr>
          <w:lang w:val="fr-CH"/>
        </w:rPr>
        <w:t xml:space="preserve"> («De la ferme à la table») de l’UE vise à augmenter la part de surface agricole cultivée en bio pour atteindre 25 % d’ici 2030. D’après les statistiques actuelles du FiBL, avec</w:t>
      </w:r>
      <w:r w:rsidR="00616703">
        <w:rPr>
          <w:lang w:val="fr-CH"/>
        </w:rPr>
        <w:t xml:space="preserve"> </w:t>
      </w:r>
      <w:bookmarkStart w:id="0" w:name="_GoBack"/>
      <w:bookmarkEnd w:id="0"/>
      <w:r w:rsidRPr="007470BA">
        <w:rPr>
          <w:lang w:val="fr-CH"/>
        </w:rPr>
        <w:t xml:space="preserve">13,8 millions d’hectares, cette part n’est aujourd’hui que de 7,7 %. Il s’agit maintenant de préparer le terrain, dans le cadre de la politique agricole et alimentaire, tant au niveau national qu’à l’échelle européenne. À cet égard, les plans d’action bio peuvent jouer un rôle central. </w:t>
      </w:r>
    </w:p>
    <w:p w14:paraId="7A0A3932" w14:textId="77777777" w:rsidR="00F7314A" w:rsidRPr="007470BA" w:rsidRDefault="00F7314A" w:rsidP="00F7314A">
      <w:pPr>
        <w:pStyle w:val="FiBLmmstandard"/>
        <w:rPr>
          <w:lang w:val="fr-CH"/>
        </w:rPr>
      </w:pPr>
      <w:r w:rsidRPr="006D33A9">
        <w:rPr>
          <w:lang w:val="fr-CH"/>
        </w:rPr>
        <w:t>(Frick, le 28.05.2020)</w:t>
      </w:r>
      <w:r w:rsidRPr="007470BA">
        <w:rPr>
          <w:lang w:val="fr-CH"/>
        </w:rPr>
        <w:t xml:space="preserve"> «Le FiBL Suisse salue la stratégie </w:t>
      </w:r>
      <w:proofErr w:type="spellStart"/>
      <w:r w:rsidRPr="007470BA">
        <w:rPr>
          <w:i/>
          <w:iCs/>
          <w:lang w:val="fr-CH"/>
        </w:rPr>
        <w:t>Farm</w:t>
      </w:r>
      <w:proofErr w:type="spellEnd"/>
      <w:r w:rsidRPr="007470BA">
        <w:rPr>
          <w:i/>
          <w:iCs/>
          <w:lang w:val="fr-CH"/>
        </w:rPr>
        <w:t xml:space="preserve"> to Fork</w:t>
      </w:r>
      <w:r w:rsidRPr="007470BA">
        <w:rPr>
          <w:lang w:val="fr-CH"/>
        </w:rPr>
        <w:t xml:space="preserve"> de l’UE, qui vise à porter la part bio à 25 % de la surface agricole totale d’ici 2030. Dans cette démarche, il peut être particulièrement efficace de stimuler la demande par des mesures de promotion commerciale et par l’approvisionnement durable des établissements publics en denrées alimentaires biologiques», affirme le directeur du FiBL, Knut Schmidtke, pour lequel «il importe maintenant que la politique agricole et alimentaire plante les jalons nécessaires, de manière ciblée, par exemple au moyen de plans d’action bio.»</w:t>
      </w:r>
    </w:p>
    <w:p w14:paraId="754129B3" w14:textId="77777777" w:rsidR="00F7314A" w:rsidRPr="007470BA" w:rsidRDefault="00F7314A" w:rsidP="00F7314A">
      <w:pPr>
        <w:pStyle w:val="FiBLmmzwischentitel"/>
        <w:rPr>
          <w:lang w:val="fr-CH"/>
        </w:rPr>
      </w:pPr>
      <w:r w:rsidRPr="007470BA">
        <w:rPr>
          <w:lang w:val="fr-CH"/>
        </w:rPr>
        <w:t>Développer la demande et les structures du marché</w:t>
      </w:r>
    </w:p>
    <w:p w14:paraId="5FE99FA7" w14:textId="77777777" w:rsidR="00F7314A" w:rsidRPr="007470BA" w:rsidRDefault="00F7314A" w:rsidP="00F7314A">
      <w:pPr>
        <w:pStyle w:val="FiBLmmstandard"/>
        <w:rPr>
          <w:lang w:val="fr-CH"/>
        </w:rPr>
      </w:pPr>
      <w:r w:rsidRPr="007470BA">
        <w:rPr>
          <w:lang w:val="fr-CH"/>
        </w:rPr>
        <w:t xml:space="preserve">«Pour l’avenir de l’agriculture biologique, il est crucial non seulement de promouvoir la production, mais aussi, dans le même temps, de développer de manière durable la demande et les structures du marché, à la fois pour les circuits nationaux et régionaux», explique Otto Schmid, collaborateur de longue date du FiBL. «À cet égard, des plans d’action bio peuvent être très utiles, surtout au niveau régional», souligne-t-il. </w:t>
      </w:r>
    </w:p>
    <w:p w14:paraId="209EAB9A" w14:textId="77777777" w:rsidR="00F7314A" w:rsidRPr="007470BA" w:rsidRDefault="00F7314A" w:rsidP="00F7314A">
      <w:pPr>
        <w:pStyle w:val="FiBLmmstandard"/>
        <w:rPr>
          <w:lang w:val="fr-CH"/>
        </w:rPr>
      </w:pPr>
      <w:r w:rsidRPr="007470BA">
        <w:rPr>
          <w:lang w:val="fr-CH"/>
        </w:rPr>
        <w:t xml:space="preserve">Ces dernières années, le FiBL s’est fortement impliqué dans des projets visant à promouvoir l’agriculture biologique en mettant en place des plans d’action et en les évaluant. La moitié des États membres de l’UE et neuf Länder allemands notamment disposent d’expériences en matière de plans d’action bio. Les plans d’action du Danemark et de la France ont connu un franc succès, en particulier en ce qui concerne la promotion des produits biologiques dans les cantines. </w:t>
      </w:r>
    </w:p>
    <w:p w14:paraId="0229F5EF" w14:textId="77777777" w:rsidR="00F7314A" w:rsidRPr="007470BA" w:rsidRDefault="00F7314A" w:rsidP="00F7314A">
      <w:pPr>
        <w:pStyle w:val="FiBLmmstandard"/>
        <w:rPr>
          <w:lang w:val="fr-CH"/>
        </w:rPr>
      </w:pPr>
      <w:r w:rsidRPr="007470BA">
        <w:rPr>
          <w:lang w:val="fr-CH"/>
        </w:rPr>
        <w:t xml:space="preserve">Actuellement, les plans d’action bio mettent surtout l’accent sur les régions et les cantons. Vient ainsi de se terminer un projet, mené à bien par le FiBL et financé par le Secrétariat d’État à l’Économie suisse (SECO), qui visait à développer et à évaluer un plan d’action bio pour le canton d’Argovie. </w:t>
      </w:r>
    </w:p>
    <w:p w14:paraId="1ECC9423" w14:textId="77777777" w:rsidR="00F7314A" w:rsidRPr="007470BA" w:rsidRDefault="00F7314A" w:rsidP="00F7314A">
      <w:pPr>
        <w:pStyle w:val="FiBLmmzwischentitel"/>
        <w:rPr>
          <w:lang w:val="fr-CH"/>
        </w:rPr>
      </w:pPr>
      <w:r w:rsidRPr="007470BA">
        <w:rPr>
          <w:lang w:val="fr-CH"/>
        </w:rPr>
        <w:lastRenderedPageBreak/>
        <w:t>L’effet moteur du plan d’action bio d’Argovie</w:t>
      </w:r>
    </w:p>
    <w:p w14:paraId="295BD30B" w14:textId="23144BE9" w:rsidR="00F7314A" w:rsidRPr="007470BA" w:rsidRDefault="00F7314A" w:rsidP="00F7314A">
      <w:pPr>
        <w:pStyle w:val="FiBLmmstandard"/>
        <w:rPr>
          <w:lang w:val="fr-CH"/>
        </w:rPr>
      </w:pPr>
      <w:r w:rsidRPr="007470BA">
        <w:rPr>
          <w:lang w:val="fr-CH"/>
        </w:rPr>
        <w:t>«Le plan d’action bio d’Argovie, qui va se poursuivre au moins jusqu’en 2021, a déjà eu d</w:t>
      </w:r>
      <w:r w:rsidR="00740452" w:rsidRPr="007470BA">
        <w:rPr>
          <w:lang w:val="fr-CH"/>
        </w:rPr>
        <w:t xml:space="preserve">’importants </w:t>
      </w:r>
      <w:r w:rsidRPr="007470BA">
        <w:rPr>
          <w:lang w:val="fr-CH"/>
        </w:rPr>
        <w:t>effets positifs sur la perception et la valorisation des aliments biologiques», déclare Robert Obrist, chef d’un des départements du FiBL et coordinateur du plan d’action bio d’Argovie. Trois mesures se sont révélées particulièrement efficaces pour augmenter la création de valeur dans le marché bio d’Argovie:</w:t>
      </w:r>
    </w:p>
    <w:p w14:paraId="42BC0CAF" w14:textId="77777777" w:rsidR="00F7314A" w:rsidRPr="007470BA" w:rsidRDefault="00F7314A" w:rsidP="00F7314A">
      <w:pPr>
        <w:pStyle w:val="FiBLmmaufzhlungszeichen"/>
        <w:numPr>
          <w:ilvl w:val="0"/>
          <w:numId w:val="6"/>
        </w:numPr>
        <w:ind w:left="426" w:hanging="284"/>
        <w:rPr>
          <w:lang w:val="fr-CH"/>
        </w:rPr>
      </w:pPr>
      <w:r w:rsidRPr="007470BA">
        <w:rPr>
          <w:lang w:val="fr-CH"/>
        </w:rPr>
        <w:t xml:space="preserve">Premièrement, il est crucial de promouvoir les produits biologiques dans la restauration collective et d’optimiser la logistique. </w:t>
      </w:r>
    </w:p>
    <w:p w14:paraId="433F7E8D" w14:textId="77777777" w:rsidR="00F7314A" w:rsidRPr="007470BA" w:rsidRDefault="00F7314A" w:rsidP="00F7314A">
      <w:pPr>
        <w:pStyle w:val="FiBLmmaufzhlungszeichen"/>
        <w:numPr>
          <w:ilvl w:val="0"/>
          <w:numId w:val="6"/>
        </w:numPr>
        <w:ind w:left="426" w:hanging="284"/>
        <w:rPr>
          <w:lang w:val="fr-CH"/>
        </w:rPr>
      </w:pPr>
      <w:r w:rsidRPr="007470BA">
        <w:rPr>
          <w:lang w:val="fr-CH"/>
        </w:rPr>
        <w:t>Deuxièmement, il faut développer l’offre d’information et de formation continue pour les exploitations en conversion quant au développement du marché et aux techniques de production.</w:t>
      </w:r>
    </w:p>
    <w:p w14:paraId="75E6AD0E" w14:textId="04760D1B" w:rsidR="00F7314A" w:rsidRPr="007470BA" w:rsidRDefault="00F7314A" w:rsidP="00F7314A">
      <w:pPr>
        <w:pStyle w:val="FiBLmmaufzhlungszeichen"/>
        <w:numPr>
          <w:ilvl w:val="0"/>
          <w:numId w:val="6"/>
        </w:numPr>
        <w:ind w:left="426" w:hanging="284"/>
        <w:rPr>
          <w:lang w:val="fr-CH"/>
        </w:rPr>
      </w:pPr>
      <w:r w:rsidRPr="007470BA">
        <w:rPr>
          <w:lang w:val="fr-CH"/>
        </w:rPr>
        <w:t xml:space="preserve">Troisièmement, les offres de formation pour les transformateurs artisanaux de produits biologiques sont un bon moyen de promouvoir la créativité et de contribuer au maintien du savoir-faire. </w:t>
      </w:r>
      <w:r w:rsidR="00307447" w:rsidRPr="007470BA">
        <w:rPr>
          <w:lang w:val="fr-CH"/>
        </w:rPr>
        <w:t>La</w:t>
      </w:r>
      <w:r w:rsidRPr="007470BA">
        <w:rPr>
          <w:lang w:val="fr-CH"/>
        </w:rPr>
        <w:t xml:space="preserve"> transformation artisanale constitue </w:t>
      </w:r>
      <w:r w:rsidR="00307447" w:rsidRPr="007470BA">
        <w:rPr>
          <w:lang w:val="fr-CH"/>
        </w:rPr>
        <w:t xml:space="preserve">par ailleurs </w:t>
      </w:r>
      <w:r w:rsidRPr="007470BA">
        <w:rPr>
          <w:lang w:val="fr-CH"/>
        </w:rPr>
        <w:t>un élément clé de la promotion commerciale.</w:t>
      </w:r>
    </w:p>
    <w:p w14:paraId="2D89D704" w14:textId="1FEA6BB7" w:rsidR="00F7314A" w:rsidRPr="007470BA" w:rsidRDefault="00F7314A" w:rsidP="00F7314A">
      <w:pPr>
        <w:pStyle w:val="FiBLmmzwischentitel"/>
        <w:rPr>
          <w:lang w:val="fr-CH"/>
        </w:rPr>
      </w:pPr>
      <w:r w:rsidRPr="007470BA">
        <w:rPr>
          <w:lang w:val="fr-CH"/>
        </w:rPr>
        <w:t xml:space="preserve">C’est au tour de la Confédération et des </w:t>
      </w:r>
      <w:r w:rsidR="005E74FF">
        <w:rPr>
          <w:lang w:val="fr-CH"/>
        </w:rPr>
        <w:t>c</w:t>
      </w:r>
      <w:r w:rsidRPr="007470BA">
        <w:rPr>
          <w:lang w:val="fr-CH"/>
        </w:rPr>
        <w:t xml:space="preserve">antons </w:t>
      </w:r>
    </w:p>
    <w:p w14:paraId="1C0A81B5" w14:textId="77777777" w:rsidR="00F7314A" w:rsidRPr="007470BA" w:rsidRDefault="00F7314A" w:rsidP="00F7314A">
      <w:pPr>
        <w:pStyle w:val="FiBLmmstandard"/>
        <w:rPr>
          <w:lang w:val="fr-CH"/>
        </w:rPr>
      </w:pPr>
      <w:r w:rsidRPr="007470BA">
        <w:rPr>
          <w:lang w:val="fr-CH"/>
        </w:rPr>
        <w:t xml:space="preserve">Dans le canton d’Argovie, on étudie actuellement la possibilité de lancer un plan d’action bio II pour la période 2022-2025. «Il serait souhaitable qu’après l’Argovie, le Jura et le Fribourg, d’autres cantons suisses promeuvent à leur tour l’agriculture biologique au moyen de plans d’action bio ou de mesures politiques similaires, comme par exemple l’offensive bio du canton de Berne», dit encore Robert Obrist. </w:t>
      </w:r>
    </w:p>
    <w:p w14:paraId="5A1EBAA5" w14:textId="1B555CC1" w:rsidR="00F7314A" w:rsidRPr="007470BA" w:rsidRDefault="00F7314A" w:rsidP="00F7314A">
      <w:pPr>
        <w:pStyle w:val="FiBLmmstandard"/>
        <w:rPr>
          <w:lang w:val="fr-CH"/>
        </w:rPr>
      </w:pPr>
      <w:r w:rsidRPr="007470BA">
        <w:rPr>
          <w:lang w:val="fr-CH"/>
        </w:rPr>
        <w:t xml:space="preserve">Au niveau fédéral, il faudra modifier la politique agricole de manière à promouvoir l’agriculture et le marché biologiques par l’attribution de ressources suffisantes. Ainsi, la Suisse pourra continuer à augmenter sa part bio, qui s’élève aujourd’hui à 170 000 hectares, soit 16 % de la surface agricole totale. </w:t>
      </w:r>
    </w:p>
    <w:p w14:paraId="09F303BC" w14:textId="7AA0E13B" w:rsidR="00CD4B01" w:rsidRPr="007470BA" w:rsidRDefault="00501A6E" w:rsidP="00991A68">
      <w:pPr>
        <w:pStyle w:val="FiBLmmzusatzinfo"/>
        <w:tabs>
          <w:tab w:val="left" w:pos="7085"/>
        </w:tabs>
        <w:rPr>
          <w:lang w:val="fr-CH"/>
        </w:rPr>
      </w:pPr>
      <w:r w:rsidRPr="007470BA">
        <w:rPr>
          <w:lang w:val="fr-CH"/>
        </w:rPr>
        <w:t>Contacts</w:t>
      </w:r>
    </w:p>
    <w:p w14:paraId="4AE2F37A" w14:textId="3F4B381F" w:rsidR="003C6406" w:rsidRPr="007470BA" w:rsidRDefault="00095F6F" w:rsidP="001727F2">
      <w:pPr>
        <w:pStyle w:val="FiBLmmaufzhlungszeichen"/>
        <w:rPr>
          <w:lang w:val="fr-CH"/>
        </w:rPr>
      </w:pPr>
      <w:r w:rsidRPr="007470BA">
        <w:rPr>
          <w:lang w:val="fr-CH"/>
        </w:rPr>
        <w:t>Otto Schmid</w:t>
      </w:r>
      <w:r w:rsidR="003C6406" w:rsidRPr="007470BA">
        <w:rPr>
          <w:lang w:val="fr-CH"/>
        </w:rPr>
        <w:t xml:space="preserve">, </w:t>
      </w:r>
      <w:r w:rsidR="001727F2" w:rsidRPr="007470BA">
        <w:rPr>
          <w:lang w:val="fr-CH"/>
        </w:rPr>
        <w:t>D</w:t>
      </w:r>
      <w:r w:rsidR="00501A6E" w:rsidRPr="007470BA">
        <w:rPr>
          <w:lang w:val="fr-CH"/>
        </w:rPr>
        <w:t>é</w:t>
      </w:r>
      <w:r w:rsidR="001727F2" w:rsidRPr="007470BA">
        <w:rPr>
          <w:lang w:val="fr-CH"/>
        </w:rPr>
        <w:t>partement</w:t>
      </w:r>
      <w:r w:rsidR="00501A6E" w:rsidRPr="007470BA">
        <w:rPr>
          <w:lang w:val="fr-CH"/>
        </w:rPr>
        <w:t xml:space="preserve"> des sciences économiques et sociales</w:t>
      </w:r>
      <w:r w:rsidR="001727F2" w:rsidRPr="007470BA">
        <w:rPr>
          <w:lang w:val="fr-CH"/>
        </w:rPr>
        <w:t xml:space="preserve">, </w:t>
      </w:r>
      <w:r w:rsidR="003C4537" w:rsidRPr="007470BA">
        <w:rPr>
          <w:lang w:val="fr-CH"/>
        </w:rPr>
        <w:t>FiBL S</w:t>
      </w:r>
      <w:r w:rsidR="00501A6E" w:rsidRPr="007470BA">
        <w:rPr>
          <w:lang w:val="fr-CH"/>
        </w:rPr>
        <w:t>uisse</w:t>
      </w:r>
      <w:r w:rsidR="003C4537" w:rsidRPr="007470BA">
        <w:rPr>
          <w:lang w:val="fr-CH"/>
        </w:rPr>
        <w:br/>
      </w:r>
      <w:r w:rsidR="0001151E" w:rsidRPr="007470BA">
        <w:rPr>
          <w:lang w:val="fr-CH"/>
        </w:rPr>
        <w:t>T</w:t>
      </w:r>
      <w:r w:rsidR="00501A6E" w:rsidRPr="007470BA">
        <w:rPr>
          <w:lang w:val="fr-CH"/>
        </w:rPr>
        <w:t>é</w:t>
      </w:r>
      <w:r w:rsidR="0001151E" w:rsidRPr="007470BA">
        <w:rPr>
          <w:lang w:val="fr-CH"/>
        </w:rPr>
        <w:t>l</w:t>
      </w:r>
      <w:r w:rsidR="00501A6E" w:rsidRPr="007470BA">
        <w:rPr>
          <w:lang w:val="fr-CH"/>
        </w:rPr>
        <w:t>.</w:t>
      </w:r>
      <w:r w:rsidR="00866E96" w:rsidRPr="007470BA">
        <w:rPr>
          <w:lang w:val="fr-CH"/>
        </w:rPr>
        <w:t xml:space="preserve"> +41 </w:t>
      </w:r>
      <w:r w:rsidR="001727F2" w:rsidRPr="007470BA">
        <w:rPr>
          <w:lang w:val="fr-CH"/>
        </w:rPr>
        <w:t>(0)</w:t>
      </w:r>
      <w:r w:rsidR="00866E96" w:rsidRPr="007470BA">
        <w:rPr>
          <w:lang w:val="fr-CH"/>
        </w:rPr>
        <w:t xml:space="preserve">62 865 72 </w:t>
      </w:r>
      <w:r w:rsidR="001727F2" w:rsidRPr="007470BA">
        <w:rPr>
          <w:lang w:val="fr-CH"/>
        </w:rPr>
        <w:t>72</w:t>
      </w:r>
      <w:r w:rsidR="00866E96" w:rsidRPr="007470BA">
        <w:rPr>
          <w:lang w:val="fr-CH"/>
        </w:rPr>
        <w:t>,</w:t>
      </w:r>
      <w:r w:rsidR="001727F2" w:rsidRPr="007470BA">
        <w:rPr>
          <w:lang w:val="fr-CH"/>
        </w:rPr>
        <w:t xml:space="preserve"> +41 (0)79 359 09 01, </w:t>
      </w:r>
      <w:r w:rsidR="00501A6E" w:rsidRPr="007470BA">
        <w:rPr>
          <w:lang w:val="fr-CH"/>
        </w:rPr>
        <w:t>e-mail</w:t>
      </w:r>
      <w:r w:rsidR="00866E96" w:rsidRPr="007470BA">
        <w:rPr>
          <w:lang w:val="fr-CH"/>
        </w:rPr>
        <w:t xml:space="preserve"> </w:t>
      </w:r>
      <w:hyperlink r:id="rId17" w:history="1">
        <w:r w:rsidR="001727F2" w:rsidRPr="007470BA">
          <w:rPr>
            <w:rStyle w:val="Hyperlink"/>
            <w:lang w:val="fr-CH"/>
          </w:rPr>
          <w:t>otto.schmid@fibl.org</w:t>
        </w:r>
      </w:hyperlink>
    </w:p>
    <w:p w14:paraId="7FA3614A" w14:textId="66984676" w:rsidR="00095F6F" w:rsidRPr="007470BA" w:rsidRDefault="00095F6F" w:rsidP="001727F2">
      <w:pPr>
        <w:pStyle w:val="FiBLmmaufzhlungszeichen"/>
        <w:rPr>
          <w:lang w:val="fr-CH"/>
        </w:rPr>
      </w:pPr>
      <w:r w:rsidRPr="007470BA">
        <w:rPr>
          <w:lang w:val="fr-CH"/>
        </w:rPr>
        <w:t xml:space="preserve">Robert Obrist, </w:t>
      </w:r>
      <w:r w:rsidR="00903511" w:rsidRPr="007470BA">
        <w:rPr>
          <w:lang w:val="fr-CH"/>
        </w:rPr>
        <w:t>chef du Département de la vulgarisation, de la formation et de la communication</w:t>
      </w:r>
      <w:r w:rsidR="001727F2" w:rsidRPr="007470BA">
        <w:rPr>
          <w:lang w:val="fr-CH"/>
        </w:rPr>
        <w:t>, FiBL S</w:t>
      </w:r>
      <w:r w:rsidR="00501A6E" w:rsidRPr="007470BA">
        <w:rPr>
          <w:lang w:val="fr-CH"/>
        </w:rPr>
        <w:t>uisse</w:t>
      </w:r>
      <w:r w:rsidR="001727F2" w:rsidRPr="007470BA">
        <w:rPr>
          <w:lang w:val="fr-CH"/>
        </w:rPr>
        <w:t>; T</w:t>
      </w:r>
      <w:r w:rsidR="00501A6E" w:rsidRPr="007470BA">
        <w:rPr>
          <w:lang w:val="fr-CH"/>
        </w:rPr>
        <w:t>é</w:t>
      </w:r>
      <w:r w:rsidR="001727F2" w:rsidRPr="007470BA">
        <w:rPr>
          <w:lang w:val="fr-CH"/>
        </w:rPr>
        <w:t xml:space="preserve">l. +41 (0)62 865 72 21, </w:t>
      </w:r>
      <w:r w:rsidR="00501A6E" w:rsidRPr="007470BA">
        <w:rPr>
          <w:lang w:val="fr-CH"/>
        </w:rPr>
        <w:t>e</w:t>
      </w:r>
      <w:r w:rsidR="001727F2" w:rsidRPr="007470BA">
        <w:rPr>
          <w:lang w:val="fr-CH"/>
        </w:rPr>
        <w:t>-</w:t>
      </w:r>
      <w:r w:rsidR="00501A6E" w:rsidRPr="007470BA">
        <w:rPr>
          <w:lang w:val="fr-CH"/>
        </w:rPr>
        <w:t>m</w:t>
      </w:r>
      <w:r w:rsidR="001727F2" w:rsidRPr="007470BA">
        <w:rPr>
          <w:lang w:val="fr-CH"/>
        </w:rPr>
        <w:t xml:space="preserve">ail </w:t>
      </w:r>
      <w:hyperlink r:id="rId18" w:history="1">
        <w:r w:rsidR="001727F2" w:rsidRPr="007470BA">
          <w:rPr>
            <w:rStyle w:val="Hyperlink"/>
            <w:lang w:val="fr-CH"/>
          </w:rPr>
          <w:t>robert.obrist@fibl.org</w:t>
        </w:r>
      </w:hyperlink>
    </w:p>
    <w:p w14:paraId="39D84925" w14:textId="6CC521F7" w:rsidR="00CD4B01" w:rsidRPr="00616703" w:rsidRDefault="00095F6F" w:rsidP="00CD4B01">
      <w:pPr>
        <w:pStyle w:val="FiBLmmaufzhlungszeichen"/>
        <w:rPr>
          <w:lang w:val="de-DE"/>
        </w:rPr>
      </w:pPr>
      <w:r w:rsidRPr="007470BA">
        <w:rPr>
          <w:lang w:val="fr-CH"/>
        </w:rPr>
        <w:t>Ania Biasio</w:t>
      </w:r>
      <w:r w:rsidR="0033039E" w:rsidRPr="007470BA">
        <w:rPr>
          <w:lang w:val="fr-CH"/>
        </w:rPr>
        <w:t xml:space="preserve">, </w:t>
      </w:r>
      <w:r w:rsidR="00903511" w:rsidRPr="007470BA">
        <w:rPr>
          <w:lang w:val="fr-CH"/>
        </w:rPr>
        <w:t>C</w:t>
      </w:r>
      <w:r w:rsidR="00CD4B01" w:rsidRPr="007470BA">
        <w:rPr>
          <w:lang w:val="fr-CH"/>
        </w:rPr>
        <w:t>ommuni</w:t>
      </w:r>
      <w:r w:rsidR="001950A5" w:rsidRPr="007470BA">
        <w:rPr>
          <w:lang w:val="fr-CH"/>
        </w:rPr>
        <w:t>c</w:t>
      </w:r>
      <w:r w:rsidR="00CD4B01" w:rsidRPr="007470BA">
        <w:rPr>
          <w:lang w:val="fr-CH"/>
        </w:rPr>
        <w:t>ation, FiBL S</w:t>
      </w:r>
      <w:r w:rsidR="00903511" w:rsidRPr="007470BA">
        <w:rPr>
          <w:lang w:val="fr-CH"/>
        </w:rPr>
        <w:t>uisse</w:t>
      </w:r>
      <w:r w:rsidR="00CD4B01" w:rsidRPr="007470BA">
        <w:rPr>
          <w:lang w:val="fr-CH"/>
        </w:rPr>
        <w:br/>
      </w:r>
      <w:r w:rsidR="0001151E" w:rsidRPr="007470BA">
        <w:rPr>
          <w:lang w:val="fr-CH"/>
        </w:rPr>
        <w:t>T</w:t>
      </w:r>
      <w:r w:rsidR="00903511" w:rsidRPr="007470BA">
        <w:rPr>
          <w:lang w:val="fr-CH"/>
        </w:rPr>
        <w:t>é</w:t>
      </w:r>
      <w:r w:rsidR="0001151E" w:rsidRPr="007470BA">
        <w:rPr>
          <w:lang w:val="fr-CH"/>
        </w:rPr>
        <w:t>l</w:t>
      </w:r>
      <w:r w:rsidR="00903511" w:rsidRPr="007470BA">
        <w:rPr>
          <w:lang w:val="fr-CH"/>
        </w:rPr>
        <w:t>.</w:t>
      </w:r>
      <w:r w:rsidR="00CD4B01" w:rsidRPr="007470BA">
        <w:rPr>
          <w:lang w:val="fr-CH"/>
        </w:rPr>
        <w:t xml:space="preserve"> </w:t>
      </w:r>
      <w:r w:rsidR="00CD4B01" w:rsidRPr="00616703">
        <w:rPr>
          <w:lang w:val="de-DE"/>
        </w:rPr>
        <w:t xml:space="preserve">+41 </w:t>
      </w:r>
      <w:r w:rsidR="0033039E" w:rsidRPr="00616703">
        <w:rPr>
          <w:lang w:val="de-DE"/>
        </w:rPr>
        <w:t>(0)62 865 04 47</w:t>
      </w:r>
      <w:r w:rsidR="00CD4B01" w:rsidRPr="00616703">
        <w:rPr>
          <w:lang w:val="de-DE"/>
        </w:rPr>
        <w:t xml:space="preserve">, </w:t>
      </w:r>
      <w:r w:rsidR="00903511" w:rsidRPr="00616703">
        <w:rPr>
          <w:lang w:val="de-DE"/>
        </w:rPr>
        <w:t>e</w:t>
      </w:r>
      <w:r w:rsidR="002E596C" w:rsidRPr="00616703">
        <w:rPr>
          <w:lang w:val="de-DE"/>
        </w:rPr>
        <w:t>-</w:t>
      </w:r>
      <w:r w:rsidR="00903511" w:rsidRPr="00616703">
        <w:rPr>
          <w:lang w:val="de-DE"/>
        </w:rPr>
        <w:t>m</w:t>
      </w:r>
      <w:r w:rsidR="002E596C" w:rsidRPr="00616703">
        <w:rPr>
          <w:lang w:val="de-DE"/>
        </w:rPr>
        <w:t xml:space="preserve">ail </w:t>
      </w:r>
      <w:r w:rsidR="005D59D1">
        <w:rPr>
          <w:rStyle w:val="Hyperlink"/>
          <w:lang w:val="fr-CH"/>
        </w:rPr>
        <w:fldChar w:fldCharType="begin"/>
      </w:r>
      <w:r w:rsidR="005D59D1" w:rsidRPr="00616703">
        <w:rPr>
          <w:rStyle w:val="Hyperlink"/>
          <w:lang w:val="de-DE"/>
        </w:rPr>
        <w:instrText xml:space="preserve"> HYPERLINK "mailto:ania.biasio@fibl.org" </w:instrText>
      </w:r>
      <w:r w:rsidR="005D59D1">
        <w:rPr>
          <w:rStyle w:val="Hyperlink"/>
          <w:lang w:val="fr-CH"/>
        </w:rPr>
        <w:fldChar w:fldCharType="separate"/>
      </w:r>
      <w:r w:rsidR="002E596C" w:rsidRPr="00616703">
        <w:rPr>
          <w:rStyle w:val="Hyperlink"/>
          <w:lang w:val="de-DE"/>
        </w:rPr>
        <w:t>ania.biasio@fibl.org</w:t>
      </w:r>
      <w:r w:rsidR="005D59D1">
        <w:rPr>
          <w:rStyle w:val="Hyperlink"/>
          <w:lang w:val="fr-CH"/>
        </w:rPr>
        <w:fldChar w:fldCharType="end"/>
      </w:r>
    </w:p>
    <w:p w14:paraId="30B4B658" w14:textId="77777777" w:rsidR="006D33A9" w:rsidRPr="00616703" w:rsidRDefault="006D33A9">
      <w:pPr>
        <w:rPr>
          <w:rFonts w:ascii="Gill Sans MT" w:hAnsi="Gill Sans MT"/>
          <w:b/>
          <w:lang w:val="de-DE"/>
        </w:rPr>
      </w:pPr>
      <w:r w:rsidRPr="00616703">
        <w:rPr>
          <w:lang w:val="de-DE"/>
        </w:rPr>
        <w:br w:type="page"/>
      </w:r>
    </w:p>
    <w:p w14:paraId="397AF49F" w14:textId="56E88149" w:rsidR="00195EC7" w:rsidRPr="007470BA" w:rsidRDefault="00195EC7" w:rsidP="00195EC7">
      <w:pPr>
        <w:pStyle w:val="FiBLmmzusatzinfo"/>
        <w:rPr>
          <w:lang w:val="fr-CH"/>
        </w:rPr>
      </w:pPr>
      <w:r w:rsidRPr="007470BA">
        <w:rPr>
          <w:lang w:val="fr-CH"/>
        </w:rPr>
        <w:lastRenderedPageBreak/>
        <w:t>Li</w:t>
      </w:r>
      <w:r w:rsidR="00903511" w:rsidRPr="007470BA">
        <w:rPr>
          <w:lang w:val="fr-CH"/>
        </w:rPr>
        <w:t>ens</w:t>
      </w:r>
    </w:p>
    <w:p w14:paraId="3D074BFB" w14:textId="22BB9C4B" w:rsidR="000F5D75" w:rsidRPr="007470BA" w:rsidRDefault="005D59D1" w:rsidP="00D37B6F">
      <w:pPr>
        <w:pStyle w:val="FiBLmmstandard"/>
        <w:rPr>
          <w:lang w:val="fr-CH"/>
        </w:rPr>
      </w:pPr>
      <w:hyperlink r:id="rId19" w:history="1">
        <w:r w:rsidR="00903511" w:rsidRPr="00DB43AC">
          <w:rPr>
            <w:rStyle w:val="Hyperlink"/>
            <w:lang w:val="fr-CH"/>
          </w:rPr>
          <w:t xml:space="preserve">Communiqué </w:t>
        </w:r>
        <w:r w:rsidR="00ED0A6B" w:rsidRPr="00DB43AC">
          <w:rPr>
            <w:rStyle w:val="Hyperlink"/>
            <w:lang w:val="fr-CH"/>
          </w:rPr>
          <w:t>aux médias</w:t>
        </w:r>
        <w:r w:rsidR="00903511" w:rsidRPr="00DB43AC">
          <w:rPr>
            <w:rStyle w:val="Hyperlink"/>
            <w:lang w:val="fr-CH"/>
          </w:rPr>
          <w:t xml:space="preserve"> de la Commission </w:t>
        </w:r>
        <w:r w:rsidR="00DB1BDA" w:rsidRPr="00DB43AC">
          <w:rPr>
            <w:rStyle w:val="Hyperlink"/>
            <w:lang w:val="fr-CH"/>
          </w:rPr>
          <w:t>e</w:t>
        </w:r>
        <w:r w:rsidR="001950A5" w:rsidRPr="00DB43AC">
          <w:rPr>
            <w:rStyle w:val="Hyperlink"/>
            <w:lang w:val="fr-CH"/>
          </w:rPr>
          <w:t>uropéenne</w:t>
        </w:r>
      </w:hyperlink>
    </w:p>
    <w:p w14:paraId="5BFABC51" w14:textId="0664C770" w:rsidR="001B6234" w:rsidRPr="007470BA" w:rsidRDefault="005D59D1" w:rsidP="00D37B6F">
      <w:pPr>
        <w:pStyle w:val="FiBLmmstandard"/>
        <w:rPr>
          <w:lang w:val="fr-CH"/>
        </w:rPr>
      </w:pPr>
      <w:hyperlink r:id="rId20" w:history="1">
        <w:r w:rsidR="00ED0A6B" w:rsidRPr="007470BA">
          <w:rPr>
            <w:rStyle w:val="Hyperlink"/>
            <w:lang w:val="fr-CH"/>
          </w:rPr>
          <w:t>Communiqué aux médias</w:t>
        </w:r>
        <w:r w:rsidR="000F5D75" w:rsidRPr="007470BA">
          <w:rPr>
            <w:rStyle w:val="Hyperlink"/>
            <w:lang w:val="fr-CH"/>
          </w:rPr>
          <w:t xml:space="preserve"> </w:t>
        </w:r>
        <w:r w:rsidR="00ED0A6B" w:rsidRPr="007470BA">
          <w:rPr>
            <w:rStyle w:val="Hyperlink"/>
            <w:lang w:val="fr-CH"/>
          </w:rPr>
          <w:t>d’</w:t>
        </w:r>
        <w:r w:rsidR="000F5D75" w:rsidRPr="007470BA">
          <w:rPr>
            <w:rStyle w:val="Hyperlink"/>
            <w:lang w:val="fr-CH"/>
          </w:rPr>
          <w:t>IFOAM EU</w:t>
        </w:r>
      </w:hyperlink>
      <w:r w:rsidR="00ED0A6B" w:rsidRPr="007470BA">
        <w:rPr>
          <w:rStyle w:val="Hyperlink"/>
          <w:lang w:val="fr-CH"/>
        </w:rPr>
        <w:t xml:space="preserve"> (en anglais)</w:t>
      </w:r>
    </w:p>
    <w:p w14:paraId="3D174AFD" w14:textId="37246E7E" w:rsidR="00DB1BDA" w:rsidRPr="007470BA" w:rsidRDefault="005D59D1" w:rsidP="00D37B6F">
      <w:pPr>
        <w:pStyle w:val="FiBLmmstandard"/>
        <w:rPr>
          <w:lang w:val="fr-CH"/>
        </w:rPr>
      </w:pPr>
      <w:hyperlink r:id="rId21" w:history="1">
        <w:r w:rsidR="00ED0A6B" w:rsidRPr="007470BA">
          <w:rPr>
            <w:rStyle w:val="Hyperlink"/>
            <w:lang w:val="fr-CH"/>
          </w:rPr>
          <w:t xml:space="preserve">Stratégie </w:t>
        </w:r>
        <w:proofErr w:type="spellStart"/>
        <w:r w:rsidR="00ED0A6B" w:rsidRPr="007470BA">
          <w:rPr>
            <w:rStyle w:val="Hyperlink"/>
            <w:i/>
            <w:iCs/>
            <w:lang w:val="fr-CH"/>
          </w:rPr>
          <w:t>F</w:t>
        </w:r>
        <w:r w:rsidR="00DB1BDA" w:rsidRPr="007470BA">
          <w:rPr>
            <w:rStyle w:val="Hyperlink"/>
            <w:i/>
            <w:iCs/>
            <w:lang w:val="fr-CH"/>
          </w:rPr>
          <w:t>arm</w:t>
        </w:r>
        <w:proofErr w:type="spellEnd"/>
        <w:r w:rsidR="00DB1BDA" w:rsidRPr="007470BA">
          <w:rPr>
            <w:rStyle w:val="Hyperlink"/>
            <w:i/>
            <w:iCs/>
            <w:lang w:val="fr-CH"/>
          </w:rPr>
          <w:t xml:space="preserve"> to Fork</w:t>
        </w:r>
        <w:r w:rsidR="00DB1BDA" w:rsidRPr="007470BA">
          <w:rPr>
            <w:rStyle w:val="Hyperlink"/>
            <w:lang w:val="fr-CH"/>
          </w:rPr>
          <w:t xml:space="preserve"> (en</w:t>
        </w:r>
        <w:r w:rsidR="00ED0A6B" w:rsidRPr="007470BA">
          <w:rPr>
            <w:rStyle w:val="Hyperlink"/>
            <w:lang w:val="fr-CH"/>
          </w:rPr>
          <w:t xml:space="preserve"> anglais</w:t>
        </w:r>
        <w:r w:rsidR="00DB1BDA" w:rsidRPr="007470BA">
          <w:rPr>
            <w:rStyle w:val="Hyperlink"/>
            <w:lang w:val="fr-CH"/>
          </w:rPr>
          <w:t>)</w:t>
        </w:r>
      </w:hyperlink>
    </w:p>
    <w:p w14:paraId="41A4A467" w14:textId="36479A0B" w:rsidR="00D37B6F" w:rsidRPr="007470BA" w:rsidRDefault="005D59D1" w:rsidP="00D37B6F">
      <w:pPr>
        <w:pStyle w:val="FiBLmmstandard"/>
        <w:rPr>
          <w:lang w:val="fr-CH"/>
        </w:rPr>
      </w:pPr>
      <w:hyperlink r:id="rId22" w:history="1">
        <w:r w:rsidR="00ED0A6B" w:rsidRPr="007470BA">
          <w:rPr>
            <w:rStyle w:val="Hyperlink"/>
            <w:lang w:val="fr-CH"/>
          </w:rPr>
          <w:t>Plan d’action bio d’</w:t>
        </w:r>
        <w:r w:rsidR="001D2AF6" w:rsidRPr="007470BA">
          <w:rPr>
            <w:rStyle w:val="Hyperlink"/>
            <w:lang w:val="fr-CH"/>
          </w:rPr>
          <w:t>A</w:t>
        </w:r>
        <w:r w:rsidR="00ED0A6B" w:rsidRPr="007470BA">
          <w:rPr>
            <w:rStyle w:val="Hyperlink"/>
            <w:lang w:val="fr-CH"/>
          </w:rPr>
          <w:t xml:space="preserve">rgovie </w:t>
        </w:r>
        <w:r w:rsidR="001D2AF6" w:rsidRPr="007470BA">
          <w:rPr>
            <w:rStyle w:val="Hyperlink"/>
            <w:lang w:val="fr-CH"/>
          </w:rPr>
          <w:t>202</w:t>
        </w:r>
        <w:r w:rsidR="00ED0A6B" w:rsidRPr="007470BA">
          <w:rPr>
            <w:rStyle w:val="Hyperlink"/>
            <w:lang w:val="fr-CH"/>
          </w:rPr>
          <w:t>1 (en allemand)</w:t>
        </w:r>
      </w:hyperlink>
    </w:p>
    <w:p w14:paraId="6443CABF" w14:textId="52E771EE" w:rsidR="00DB1BDA" w:rsidRPr="007470BA" w:rsidRDefault="005D59D1" w:rsidP="00D37B6F">
      <w:pPr>
        <w:pStyle w:val="FiBLmmstandard"/>
        <w:rPr>
          <w:lang w:val="fr-CH"/>
        </w:rPr>
      </w:pPr>
      <w:hyperlink r:id="rId23" w:history="1">
        <w:r w:rsidR="00ED0A6B" w:rsidRPr="007470BA">
          <w:rPr>
            <w:rStyle w:val="Hyperlink"/>
            <w:lang w:val="fr-CH"/>
          </w:rPr>
          <w:t>Offensive bio du canton de Bern</w:t>
        </w:r>
        <w:r w:rsidR="0067385E" w:rsidRPr="007470BA">
          <w:rPr>
            <w:rStyle w:val="Hyperlink"/>
            <w:lang w:val="fr-CH"/>
          </w:rPr>
          <w:t>e (en allemand)</w:t>
        </w:r>
      </w:hyperlink>
      <w:r w:rsidR="00DB1BDA" w:rsidRPr="007470BA">
        <w:rPr>
          <w:lang w:val="fr-CH"/>
        </w:rPr>
        <w:t xml:space="preserve"> </w:t>
      </w:r>
    </w:p>
    <w:p w14:paraId="21C4D4B4" w14:textId="72E4B94F" w:rsidR="000A0CF7" w:rsidRPr="00616703" w:rsidRDefault="00016644" w:rsidP="00230924">
      <w:pPr>
        <w:pStyle w:val="FiBLmmzusatzinfo"/>
        <w:rPr>
          <w:lang w:val="en-US"/>
        </w:rPr>
      </w:pPr>
      <w:r w:rsidRPr="00616703">
        <w:rPr>
          <w:lang w:val="en-US"/>
        </w:rPr>
        <w:t>Références</w:t>
      </w:r>
    </w:p>
    <w:p w14:paraId="1720BBCF" w14:textId="2FD5CF42" w:rsidR="006358BE" w:rsidRPr="007470BA" w:rsidRDefault="006358BE" w:rsidP="001F27C8">
      <w:pPr>
        <w:pStyle w:val="FiBLmmliteratur"/>
        <w:rPr>
          <w:rStyle w:val="Hyperlink"/>
          <w:lang w:val="fr-CH"/>
        </w:rPr>
      </w:pPr>
      <w:r w:rsidRPr="00616703">
        <w:rPr>
          <w:lang w:val="en-US"/>
        </w:rPr>
        <w:t xml:space="preserve">European Commission (2020): </w:t>
      </w:r>
      <w:r w:rsidR="005D59D1">
        <w:rPr>
          <w:rStyle w:val="Hyperlink"/>
          <w:lang w:val="fr-CH"/>
        </w:rPr>
        <w:fldChar w:fldCharType="begin"/>
      </w:r>
      <w:r w:rsidR="005D59D1" w:rsidRPr="00616703">
        <w:rPr>
          <w:rStyle w:val="Hyperlink"/>
          <w:lang w:val="en-US"/>
        </w:rPr>
        <w:instrText xml:space="preserve"> HYPERLINK "https://ec.europa.eu/food/sites/food/files/safety/docs/f2f_action-plan_2020_strategy-info_en.pdf" </w:instrText>
      </w:r>
      <w:r w:rsidR="005D59D1">
        <w:rPr>
          <w:rStyle w:val="Hyperlink"/>
          <w:lang w:val="fr-CH"/>
        </w:rPr>
        <w:fldChar w:fldCharType="separate"/>
      </w:r>
      <w:r w:rsidRPr="00616703">
        <w:rPr>
          <w:rStyle w:val="Hyperlink"/>
          <w:lang w:val="en-US"/>
        </w:rPr>
        <w:t xml:space="preserve">Farm to Fork Strategy. </w:t>
      </w:r>
      <w:r w:rsidRPr="007470BA">
        <w:rPr>
          <w:rStyle w:val="Hyperlink"/>
          <w:lang w:val="fr-CH"/>
        </w:rPr>
        <w:t xml:space="preserve">For a </w:t>
      </w:r>
      <w:proofErr w:type="spellStart"/>
      <w:r w:rsidRPr="007470BA">
        <w:rPr>
          <w:rStyle w:val="Hyperlink"/>
          <w:lang w:val="fr-CH"/>
        </w:rPr>
        <w:t>fair</w:t>
      </w:r>
      <w:proofErr w:type="spellEnd"/>
      <w:r w:rsidRPr="007470BA">
        <w:rPr>
          <w:rStyle w:val="Hyperlink"/>
          <w:lang w:val="fr-CH"/>
        </w:rPr>
        <w:t xml:space="preserve">, </w:t>
      </w:r>
      <w:proofErr w:type="spellStart"/>
      <w:r w:rsidRPr="007470BA">
        <w:rPr>
          <w:rStyle w:val="Hyperlink"/>
          <w:lang w:val="fr-CH"/>
        </w:rPr>
        <w:t>healthy</w:t>
      </w:r>
      <w:proofErr w:type="spellEnd"/>
      <w:r w:rsidRPr="007470BA">
        <w:rPr>
          <w:rStyle w:val="Hyperlink"/>
          <w:lang w:val="fr-CH"/>
        </w:rPr>
        <w:t xml:space="preserve"> and </w:t>
      </w:r>
      <w:proofErr w:type="spellStart"/>
      <w:r w:rsidRPr="007470BA">
        <w:rPr>
          <w:rStyle w:val="Hyperlink"/>
          <w:lang w:val="fr-CH"/>
        </w:rPr>
        <w:t>envir</w:t>
      </w:r>
      <w:r w:rsidR="00A074F7" w:rsidRPr="007470BA">
        <w:rPr>
          <w:rStyle w:val="Hyperlink"/>
          <w:lang w:val="fr-CH"/>
        </w:rPr>
        <w:t>onmentally-friendly</w:t>
      </w:r>
      <w:proofErr w:type="spellEnd"/>
      <w:r w:rsidR="00A074F7" w:rsidRPr="007470BA">
        <w:rPr>
          <w:rStyle w:val="Hyperlink"/>
          <w:lang w:val="fr-CH"/>
        </w:rPr>
        <w:t xml:space="preserve"> </w:t>
      </w:r>
      <w:proofErr w:type="spellStart"/>
      <w:r w:rsidR="00A074F7" w:rsidRPr="007470BA">
        <w:rPr>
          <w:rStyle w:val="Hyperlink"/>
          <w:lang w:val="fr-CH"/>
        </w:rPr>
        <w:t>food</w:t>
      </w:r>
      <w:proofErr w:type="spellEnd"/>
      <w:r w:rsidR="00A074F7" w:rsidRPr="007470BA">
        <w:rPr>
          <w:rStyle w:val="Hyperlink"/>
          <w:lang w:val="fr-CH"/>
        </w:rPr>
        <w:t xml:space="preserve"> system</w:t>
      </w:r>
      <w:r w:rsidR="005D59D1">
        <w:rPr>
          <w:rStyle w:val="Hyperlink"/>
          <w:lang w:val="fr-CH"/>
        </w:rPr>
        <w:fldChar w:fldCharType="end"/>
      </w:r>
    </w:p>
    <w:p w14:paraId="387CE923" w14:textId="69572244" w:rsidR="0094263A" w:rsidRPr="007470BA" w:rsidRDefault="0094263A" w:rsidP="001F27C8">
      <w:pPr>
        <w:pStyle w:val="FiBLmmliteratur"/>
        <w:rPr>
          <w:lang w:val="fr-CH"/>
        </w:rPr>
      </w:pPr>
    </w:p>
    <w:p w14:paraId="5DD1B370" w14:textId="73705416" w:rsidR="00DF5FD6" w:rsidRPr="007470BA" w:rsidRDefault="00DF5FD6" w:rsidP="001F27C8">
      <w:pPr>
        <w:pStyle w:val="FiBLmmliteratur"/>
        <w:rPr>
          <w:lang w:val="fr-CH"/>
        </w:rPr>
      </w:pPr>
      <w:r w:rsidRPr="007470BA">
        <w:rPr>
          <w:lang w:val="fr-CH"/>
        </w:rPr>
        <w:t xml:space="preserve">Communication </w:t>
      </w:r>
      <w:r w:rsidR="00016644" w:rsidRPr="007470BA">
        <w:rPr>
          <w:lang w:val="fr-CH"/>
        </w:rPr>
        <w:t xml:space="preserve">de la Commission au Parlement européen, au Conseil, au Comité économique et social européen et au Comité des </w:t>
      </w:r>
      <w:r w:rsidR="001E5C73" w:rsidRPr="007470BA">
        <w:rPr>
          <w:lang w:val="fr-CH"/>
        </w:rPr>
        <w:t>régions</w:t>
      </w:r>
      <w:r w:rsidR="00016644" w:rsidRPr="007470BA">
        <w:rPr>
          <w:lang w:val="fr-CH"/>
        </w:rPr>
        <w:t xml:space="preserve"> </w:t>
      </w:r>
      <w:r w:rsidRPr="007470BA">
        <w:rPr>
          <w:lang w:val="fr-CH"/>
        </w:rPr>
        <w:t xml:space="preserve">(20.05.2020): </w:t>
      </w:r>
      <w:hyperlink r:id="rId24" w:history="1">
        <w:r w:rsidR="00016644" w:rsidRPr="00DB43AC">
          <w:rPr>
            <w:rStyle w:val="Hyperlink"/>
            <w:lang w:val="fr-CH"/>
          </w:rPr>
          <w:t xml:space="preserve">Une stratégie «De la ferme à la table» pour un système alimentaire équitable, sain et </w:t>
        </w:r>
        <w:r w:rsidR="001E5C73" w:rsidRPr="00DB43AC">
          <w:rPr>
            <w:rStyle w:val="Hyperlink"/>
            <w:lang w:val="fr-CH"/>
          </w:rPr>
          <w:t>respectueux de l’environnement</w:t>
        </w:r>
      </w:hyperlink>
    </w:p>
    <w:p w14:paraId="2D2B3D82" w14:textId="77777777" w:rsidR="002B189A" w:rsidRPr="007470BA" w:rsidRDefault="002B189A" w:rsidP="001F27C8">
      <w:pPr>
        <w:pStyle w:val="FiBLmmliteratur"/>
        <w:rPr>
          <w:lang w:val="fr-CH"/>
        </w:rPr>
      </w:pPr>
    </w:p>
    <w:p w14:paraId="1DE096C3" w14:textId="3DFB210E" w:rsidR="002B189A" w:rsidRPr="007470BA" w:rsidRDefault="002B189A" w:rsidP="001F27C8">
      <w:pPr>
        <w:pStyle w:val="FiBLmmliteratur"/>
        <w:rPr>
          <w:lang w:val="fr-CH"/>
        </w:rPr>
      </w:pPr>
      <w:r w:rsidRPr="00EB6A97">
        <w:rPr>
          <w:lang w:val="en-US"/>
        </w:rPr>
        <w:t xml:space="preserve">Willer, Helga, Bernhard Schlatter, Jan </w:t>
      </w:r>
      <w:proofErr w:type="spellStart"/>
      <w:r w:rsidRPr="00EB6A97">
        <w:rPr>
          <w:lang w:val="en-US"/>
        </w:rPr>
        <w:t>Trávníček</w:t>
      </w:r>
      <w:proofErr w:type="spellEnd"/>
      <w:r w:rsidRPr="00EB6A97">
        <w:rPr>
          <w:lang w:val="en-US"/>
        </w:rPr>
        <w:t xml:space="preserve">, Laura Kemper </w:t>
      </w:r>
      <w:proofErr w:type="gramStart"/>
      <w:r w:rsidR="001E5C73" w:rsidRPr="00EB6A97">
        <w:rPr>
          <w:lang w:val="en-US"/>
        </w:rPr>
        <w:t>et</w:t>
      </w:r>
      <w:proofErr w:type="gramEnd"/>
      <w:r w:rsidRPr="00EB6A97">
        <w:rPr>
          <w:lang w:val="en-US"/>
        </w:rPr>
        <w:t xml:space="preserve"> Julia </w:t>
      </w:r>
      <w:proofErr w:type="spellStart"/>
      <w:r w:rsidRPr="00EB6A97">
        <w:rPr>
          <w:lang w:val="en-US"/>
        </w:rPr>
        <w:t>Lernoud</w:t>
      </w:r>
      <w:proofErr w:type="spellEnd"/>
      <w:r w:rsidRPr="00EB6A97">
        <w:rPr>
          <w:lang w:val="en-US"/>
        </w:rPr>
        <w:t xml:space="preserve"> (</w:t>
      </w:r>
      <w:proofErr w:type="spellStart"/>
      <w:r w:rsidR="001E5C73" w:rsidRPr="00EB6A97">
        <w:rPr>
          <w:lang w:val="en-US"/>
        </w:rPr>
        <w:t>Éd</w:t>
      </w:r>
      <w:proofErr w:type="spellEnd"/>
      <w:r w:rsidRPr="00EB6A97">
        <w:rPr>
          <w:lang w:val="en-US"/>
        </w:rPr>
        <w:t xml:space="preserve">.) </w:t>
      </w:r>
      <w:r w:rsidRPr="00616703">
        <w:rPr>
          <w:lang w:val="en-US"/>
        </w:rPr>
        <w:t xml:space="preserve">(2020): The World of Organic Agriculture. </w:t>
      </w:r>
      <w:proofErr w:type="spellStart"/>
      <w:r w:rsidRPr="007470BA">
        <w:rPr>
          <w:lang w:val="fr-CH"/>
        </w:rPr>
        <w:t>Statistics</w:t>
      </w:r>
      <w:proofErr w:type="spellEnd"/>
      <w:r w:rsidRPr="007470BA">
        <w:rPr>
          <w:lang w:val="fr-CH"/>
        </w:rPr>
        <w:t xml:space="preserve"> and </w:t>
      </w:r>
      <w:proofErr w:type="spellStart"/>
      <w:r w:rsidRPr="007470BA">
        <w:rPr>
          <w:lang w:val="fr-CH"/>
        </w:rPr>
        <w:t>Emerging</w:t>
      </w:r>
      <w:proofErr w:type="spellEnd"/>
      <w:r w:rsidRPr="007470BA">
        <w:rPr>
          <w:lang w:val="fr-CH"/>
        </w:rPr>
        <w:t xml:space="preserve"> Trends 2020. </w:t>
      </w:r>
      <w:r w:rsidR="001E5C73" w:rsidRPr="007470BA">
        <w:rPr>
          <w:lang w:val="fr-CH"/>
        </w:rPr>
        <w:t>Institut de recherche de l’agriculture biologique FiBL</w:t>
      </w:r>
      <w:r w:rsidRPr="007470BA">
        <w:rPr>
          <w:lang w:val="fr-CH"/>
        </w:rPr>
        <w:t xml:space="preserve">, Frick, </w:t>
      </w:r>
      <w:r w:rsidR="001E5C73" w:rsidRPr="007470BA">
        <w:rPr>
          <w:lang w:val="fr-CH"/>
        </w:rPr>
        <w:t>et</w:t>
      </w:r>
      <w:r w:rsidRPr="007470BA">
        <w:rPr>
          <w:lang w:val="fr-CH"/>
        </w:rPr>
        <w:t xml:space="preserve"> IFOAM – </w:t>
      </w:r>
      <w:proofErr w:type="spellStart"/>
      <w:r w:rsidRPr="007470BA">
        <w:rPr>
          <w:lang w:val="fr-CH"/>
        </w:rPr>
        <w:t>Organics</w:t>
      </w:r>
      <w:proofErr w:type="spellEnd"/>
      <w:r w:rsidRPr="007470BA">
        <w:rPr>
          <w:lang w:val="fr-CH"/>
        </w:rPr>
        <w:t xml:space="preserve"> International, Bonn. </w:t>
      </w:r>
      <w:r w:rsidR="00357671" w:rsidRPr="007470BA">
        <w:rPr>
          <w:lang w:val="fr-CH"/>
        </w:rPr>
        <w:t>Disponible sur:</w:t>
      </w:r>
      <w:r w:rsidRPr="007470BA">
        <w:rPr>
          <w:lang w:val="fr-CH"/>
        </w:rPr>
        <w:t xml:space="preserve"> </w:t>
      </w:r>
      <w:hyperlink r:id="rId25" w:history="1">
        <w:r w:rsidRPr="007470BA">
          <w:rPr>
            <w:rStyle w:val="Hyperlink"/>
            <w:lang w:val="fr-CH"/>
          </w:rPr>
          <w:t>www.organic-world.net/yearbook/yearbook-2020.html</w:t>
        </w:r>
      </w:hyperlink>
    </w:p>
    <w:p w14:paraId="04E68FA7" w14:textId="77777777" w:rsidR="0094263A" w:rsidRPr="007470BA" w:rsidRDefault="0094263A" w:rsidP="001F27C8">
      <w:pPr>
        <w:pStyle w:val="FiBLmmliteratur"/>
        <w:rPr>
          <w:lang w:val="fr-CH"/>
        </w:rPr>
      </w:pPr>
    </w:p>
    <w:p w14:paraId="647DDD8A" w14:textId="160377B0" w:rsidR="00AA295A" w:rsidRPr="007470BA" w:rsidRDefault="00CD3C1D" w:rsidP="001F27C8">
      <w:pPr>
        <w:pStyle w:val="FiBLmmliteratur"/>
        <w:rPr>
          <w:lang w:val="fr-CH"/>
        </w:rPr>
      </w:pPr>
      <w:r w:rsidRPr="007470BA">
        <w:rPr>
          <w:lang w:val="fr-CH"/>
        </w:rPr>
        <w:t xml:space="preserve">Michel </w:t>
      </w:r>
      <w:proofErr w:type="spellStart"/>
      <w:r w:rsidRPr="007470BA">
        <w:rPr>
          <w:lang w:val="fr-CH"/>
        </w:rPr>
        <w:t>Jeanrenaud</w:t>
      </w:r>
      <w:proofErr w:type="spellEnd"/>
      <w:r w:rsidRPr="007470BA">
        <w:rPr>
          <w:lang w:val="fr-CH"/>
        </w:rPr>
        <w:t xml:space="preserve">, Martina Siegenthaler, Josy </w:t>
      </w:r>
      <w:proofErr w:type="spellStart"/>
      <w:r w:rsidRPr="007470BA">
        <w:rPr>
          <w:lang w:val="fr-CH"/>
        </w:rPr>
        <w:t>Taramarcaz</w:t>
      </w:r>
      <w:proofErr w:type="spellEnd"/>
      <w:r w:rsidRPr="007470BA">
        <w:rPr>
          <w:lang w:val="fr-CH"/>
        </w:rPr>
        <w:t xml:space="preserve"> (AGRIDEA), Maurice Clerc, Robert Obrist (FiBL) </w:t>
      </w:r>
      <w:r w:rsidR="00AB6CC3" w:rsidRPr="007470BA">
        <w:rPr>
          <w:lang w:val="fr-CH"/>
        </w:rPr>
        <w:t>et</w:t>
      </w:r>
      <w:r w:rsidRPr="007470BA">
        <w:rPr>
          <w:lang w:val="fr-CH"/>
        </w:rPr>
        <w:t xml:space="preserve"> Christian </w:t>
      </w:r>
      <w:proofErr w:type="spellStart"/>
      <w:r w:rsidR="003241CD" w:rsidRPr="007470BA">
        <w:rPr>
          <w:lang w:val="fr-CH"/>
        </w:rPr>
        <w:t>Vö</w:t>
      </w:r>
      <w:r w:rsidRPr="007470BA">
        <w:rPr>
          <w:lang w:val="fr-CH"/>
        </w:rPr>
        <w:t>gel</w:t>
      </w:r>
      <w:r w:rsidR="003241CD" w:rsidRPr="007470BA">
        <w:rPr>
          <w:lang w:val="fr-CH"/>
        </w:rPr>
        <w:t>i</w:t>
      </w:r>
      <w:proofErr w:type="spellEnd"/>
      <w:r w:rsidRPr="007470BA">
        <w:rPr>
          <w:lang w:val="fr-CH"/>
        </w:rPr>
        <w:t xml:space="preserve"> (Bio Suisse)</w:t>
      </w:r>
      <w:r w:rsidR="00423C89" w:rsidRPr="007470BA">
        <w:rPr>
          <w:lang w:val="fr-CH"/>
        </w:rPr>
        <w:t xml:space="preserve"> </w:t>
      </w:r>
      <w:r w:rsidR="001B6234" w:rsidRPr="007470BA">
        <w:rPr>
          <w:lang w:val="fr-CH"/>
        </w:rPr>
        <w:t>(2016</w:t>
      </w:r>
      <w:r w:rsidR="00423C89" w:rsidRPr="007470BA">
        <w:rPr>
          <w:lang w:val="fr-CH"/>
        </w:rPr>
        <w:t xml:space="preserve">): </w:t>
      </w:r>
      <w:hyperlink r:id="rId26" w:history="1">
        <w:r w:rsidR="00D30DC3" w:rsidRPr="00DB43AC">
          <w:rPr>
            <w:rStyle w:val="Hyperlink"/>
            <w:lang w:val="fr-CH"/>
          </w:rPr>
          <w:t>Plan d’Action Bio: Guide de mesures pour le développement de la production biologique</w:t>
        </w:r>
      </w:hyperlink>
    </w:p>
    <w:p w14:paraId="523B1291" w14:textId="0B5E32C4" w:rsidR="00307DD8" w:rsidRPr="007470BA" w:rsidRDefault="000B24EA" w:rsidP="00ED5911">
      <w:pPr>
        <w:pStyle w:val="FiBLmmzusatzinfo"/>
        <w:rPr>
          <w:lang w:val="fr-CH"/>
        </w:rPr>
      </w:pPr>
      <w:r w:rsidRPr="007470BA">
        <w:rPr>
          <w:lang w:val="fr-CH"/>
        </w:rPr>
        <w:t>Pour consulter ce communiqué aux médias sur Internet</w:t>
      </w:r>
    </w:p>
    <w:p w14:paraId="633ADED4" w14:textId="4E4ED020" w:rsidR="000B24EA" w:rsidRPr="007470BA" w:rsidRDefault="000B24EA" w:rsidP="000B24EA">
      <w:pPr>
        <w:pStyle w:val="FiBLmrstandard"/>
        <w:rPr>
          <w:lang w:val="fr-CH"/>
        </w:rPr>
      </w:pPr>
      <w:r w:rsidRPr="007470BA">
        <w:rPr>
          <w:lang w:val="fr-CH"/>
        </w:rPr>
        <w:t>Vous trouverez le présent communiqué aux médias ainsi que des photos en ligne à l’adresse</w:t>
      </w:r>
      <w:hyperlink w:history="1">
        <w:r w:rsidRPr="007470BA">
          <w:rPr>
            <w:rStyle w:val="Hyperlink"/>
            <w:lang w:val="fr-CH"/>
          </w:rPr>
          <w:t xml:space="preserve"> www.fibl.org/fr/infotheque/medias.html</w:t>
        </w:r>
      </w:hyperlink>
    </w:p>
    <w:p w14:paraId="3CECC16B" w14:textId="77777777" w:rsidR="00B702D9" w:rsidRPr="007470BA" w:rsidRDefault="00B702D9" w:rsidP="00B702D9">
      <w:pPr>
        <w:pStyle w:val="FiBLmrannotationtitle"/>
        <w:rPr>
          <w:lang w:val="fr-CH"/>
        </w:rPr>
      </w:pPr>
      <w:r w:rsidRPr="007470BA">
        <w:rPr>
          <w:lang w:val="fr-CH"/>
        </w:rPr>
        <w:t>À propos du FiBL</w:t>
      </w:r>
    </w:p>
    <w:p w14:paraId="61C50002" w14:textId="77777777" w:rsidR="00B702D9" w:rsidRPr="007470BA" w:rsidRDefault="00B702D9" w:rsidP="00B702D9">
      <w:pPr>
        <w:pStyle w:val="FiBLmmerluterung"/>
        <w:rPr>
          <w:lang w:val="fr-CH"/>
        </w:rPr>
      </w:pPr>
      <w:r w:rsidRPr="007470BA">
        <w:rPr>
          <w:lang w:val="fr-CH"/>
        </w:rPr>
        <w:t xml:space="preserve">L’Institut de recherche de l’agriculture biologique FiBL est l’un des principaux instituts de recherche en agriculture biologique à l’échelle mondiale. Les points forts du FiBL sont la recherche interdisciplinaire, l’innovation en collaboration avec les agricultrices et les agriculteurs et le secteur alimentaire ainsi que la rapidité du transfert de connaissances. Sur ses différents sites, l’institut compte au total 280 collaboratrices et collaborateurs. </w:t>
      </w:r>
    </w:p>
    <w:p w14:paraId="5D9E3A45" w14:textId="77777777" w:rsidR="00B702D9" w:rsidRPr="007470BA" w:rsidRDefault="00B702D9" w:rsidP="00B702D9">
      <w:pPr>
        <w:pStyle w:val="FiBLmrannotationbulletpoint"/>
        <w:numPr>
          <w:ilvl w:val="0"/>
          <w:numId w:val="4"/>
        </w:numPr>
        <w:ind w:left="426" w:hanging="284"/>
        <w:rPr>
          <w:lang w:val="fr-CH"/>
        </w:rPr>
      </w:pPr>
      <w:r w:rsidRPr="007470BA">
        <w:rPr>
          <w:lang w:val="fr-CH"/>
        </w:rPr>
        <w:t xml:space="preserve">Site web: </w:t>
      </w:r>
      <w:hyperlink r:id="rId27" w:history="1">
        <w:r w:rsidRPr="007470BA">
          <w:rPr>
            <w:rStyle w:val="Hyperlink"/>
            <w:lang w:val="fr-CH"/>
          </w:rPr>
          <w:t>www.fibl.org</w:t>
        </w:r>
      </w:hyperlink>
    </w:p>
    <w:p w14:paraId="1A2E5856" w14:textId="77777777" w:rsidR="00B702D9" w:rsidRPr="007470BA" w:rsidRDefault="00B702D9" w:rsidP="00B702D9">
      <w:pPr>
        <w:pStyle w:val="FiBLmrannotationbulletpoint"/>
        <w:numPr>
          <w:ilvl w:val="0"/>
          <w:numId w:val="4"/>
        </w:numPr>
        <w:ind w:left="426" w:hanging="284"/>
        <w:rPr>
          <w:lang w:val="fr-CH"/>
        </w:rPr>
      </w:pPr>
      <w:r w:rsidRPr="007470BA">
        <w:rPr>
          <w:lang w:val="fr-CH"/>
        </w:rPr>
        <w:t xml:space="preserve">Vidéo: </w:t>
      </w:r>
      <w:hyperlink r:id="rId28" w:history="1">
        <w:r w:rsidRPr="007470BA">
          <w:rPr>
            <w:rStyle w:val="Hyperlink"/>
            <w:lang w:val="fr-CH"/>
          </w:rPr>
          <w:t>www.youtube.com/watch?v=ZYWxUGPHgZY</w:t>
        </w:r>
      </w:hyperlink>
    </w:p>
    <w:sectPr w:rsidR="00B702D9" w:rsidRPr="007470BA" w:rsidSect="001B31D5">
      <w:footerReference w:type="default" r:id="rId29"/>
      <w:type w:val="continuous"/>
      <w:pgSz w:w="11906" w:h="16838"/>
      <w:pgMar w:top="2268" w:right="1701" w:bottom="1701" w:left="1701" w:header="1134"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69F7A1" w16cid:durableId="2278FA37"/>
  <w16cid:commentId w16cid:paraId="5FCCC775" w16cid:durableId="22793AAE"/>
  <w16cid:commentId w16cid:paraId="414DA750" w16cid:durableId="22793C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94281" w14:textId="77777777" w:rsidR="005D59D1" w:rsidRDefault="005D59D1" w:rsidP="00F53AA9">
      <w:pPr>
        <w:spacing w:after="0" w:line="240" w:lineRule="auto"/>
      </w:pPr>
      <w:r>
        <w:separator/>
      </w:r>
    </w:p>
  </w:endnote>
  <w:endnote w:type="continuationSeparator" w:id="0">
    <w:p w14:paraId="38667D6D" w14:textId="77777777" w:rsidR="005D59D1" w:rsidRDefault="005D59D1"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7F40D" w14:textId="77777777" w:rsidR="006D33A9" w:rsidRDefault="006D33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616703" w14:paraId="1B749DB5" w14:textId="77777777" w:rsidTr="00C16594">
      <w:trPr>
        <w:trHeight w:val="508"/>
      </w:trPr>
      <w:tc>
        <w:tcPr>
          <w:tcW w:w="7656" w:type="dxa"/>
        </w:tcPr>
        <w:p w14:paraId="3EC94DF5" w14:textId="54C3D5FF" w:rsidR="008A6B50" w:rsidRPr="00991A68" w:rsidRDefault="00991A68" w:rsidP="00DA14CE">
          <w:pPr>
            <w:pStyle w:val="FiBLmmfusszeile"/>
            <w:rPr>
              <w:lang w:val="fr-FR"/>
            </w:rPr>
          </w:pPr>
          <w:r w:rsidRPr="00991A68">
            <w:rPr>
              <w:lang w:val="fr-FR"/>
            </w:rPr>
            <w:t xml:space="preserve">Institut de recherche de l’agriculture biologique </w:t>
          </w:r>
          <w:r w:rsidR="00F73377" w:rsidRPr="00991A68">
            <w:rPr>
              <w:lang w:val="fr-FR"/>
            </w:rPr>
            <w:t xml:space="preserve">FiBL | </w:t>
          </w:r>
          <w:proofErr w:type="spellStart"/>
          <w:r w:rsidR="00F73377" w:rsidRPr="00991A68">
            <w:rPr>
              <w:lang w:val="fr-FR"/>
            </w:rPr>
            <w:t>Ackerstrasse</w:t>
          </w:r>
          <w:proofErr w:type="spellEnd"/>
          <w:r w:rsidR="00F73377" w:rsidRPr="00991A68">
            <w:rPr>
              <w:lang w:val="fr-FR"/>
            </w:rPr>
            <w:t xml:space="preserve"> 113 | </w:t>
          </w:r>
          <w:r w:rsidRPr="00991A68">
            <w:rPr>
              <w:lang w:val="fr-FR"/>
            </w:rPr>
            <w:t>c</w:t>
          </w:r>
          <w:r>
            <w:rPr>
              <w:lang w:val="fr-FR"/>
            </w:rPr>
            <w:t>ase postale</w:t>
          </w:r>
          <w:r w:rsidR="00F73377" w:rsidRPr="00991A68">
            <w:rPr>
              <w:lang w:val="fr-FR"/>
            </w:rPr>
            <w:t xml:space="preserve"> 219 </w:t>
          </w:r>
        </w:p>
        <w:p w14:paraId="4BC08F2A" w14:textId="6BD7CF21" w:rsidR="00F73377" w:rsidRPr="00991A68" w:rsidRDefault="00F73377" w:rsidP="0001151E">
          <w:pPr>
            <w:pStyle w:val="FiBLmmfusszeile"/>
            <w:rPr>
              <w:lang w:val="fr-FR"/>
            </w:rPr>
          </w:pPr>
          <w:r w:rsidRPr="00991A68">
            <w:rPr>
              <w:lang w:val="fr-FR"/>
            </w:rPr>
            <w:t>5070 Frick | S</w:t>
          </w:r>
          <w:r w:rsidR="00991A68" w:rsidRPr="00991A68">
            <w:rPr>
              <w:lang w:val="fr-FR"/>
            </w:rPr>
            <w:t>uisse</w:t>
          </w:r>
          <w:r w:rsidR="001B2B79" w:rsidRPr="00991A68">
            <w:rPr>
              <w:lang w:val="fr-FR"/>
            </w:rPr>
            <w:t xml:space="preserve"> | </w:t>
          </w:r>
          <w:r w:rsidR="0001151E" w:rsidRPr="00991A68">
            <w:rPr>
              <w:lang w:val="fr-FR"/>
            </w:rPr>
            <w:t>T</w:t>
          </w:r>
          <w:r w:rsidR="00991A68">
            <w:rPr>
              <w:lang w:val="fr-FR"/>
            </w:rPr>
            <w:t>é</w:t>
          </w:r>
          <w:r w:rsidR="0001151E" w:rsidRPr="00991A68">
            <w:rPr>
              <w:lang w:val="fr-FR"/>
            </w:rPr>
            <w:t>l</w:t>
          </w:r>
          <w:r w:rsidR="00991A68">
            <w:rPr>
              <w:lang w:val="fr-FR"/>
            </w:rPr>
            <w:t>.</w:t>
          </w:r>
          <w:r w:rsidR="001B2B79" w:rsidRPr="00991A68">
            <w:rPr>
              <w:lang w:val="fr-FR"/>
            </w:rPr>
            <w:t xml:space="preserve"> +41 </w:t>
          </w:r>
          <w:r w:rsidRPr="00991A68">
            <w:rPr>
              <w:lang w:val="fr-FR"/>
            </w:rPr>
            <w:t xml:space="preserve">62 865 72 72 | </w:t>
          </w:r>
          <w:hyperlink r:id="rId1">
            <w:r w:rsidRPr="00991A68">
              <w:rPr>
                <w:lang w:val="fr-FR"/>
              </w:rPr>
              <w:t xml:space="preserve">info.suisse@fibl.org </w:t>
            </w:r>
          </w:hyperlink>
          <w:r w:rsidRPr="00991A68">
            <w:rPr>
              <w:lang w:val="fr-FR"/>
            </w:rPr>
            <w:t xml:space="preserve">| </w:t>
          </w:r>
          <w:hyperlink r:id="rId2">
            <w:r w:rsidRPr="00991A68">
              <w:rPr>
                <w:lang w:val="fr-FR"/>
              </w:rPr>
              <w:t>www.fibl.org</w:t>
            </w:r>
          </w:hyperlink>
        </w:p>
      </w:tc>
      <w:tc>
        <w:tcPr>
          <w:tcW w:w="407" w:type="dxa"/>
        </w:tcPr>
        <w:p w14:paraId="35410BF6" w14:textId="77777777" w:rsidR="00F73377" w:rsidRPr="00991A68" w:rsidRDefault="00F73377" w:rsidP="00DA14CE">
          <w:pPr>
            <w:pStyle w:val="FiBLmmseitennummer"/>
            <w:rPr>
              <w:lang w:val="fr-FR"/>
            </w:rPr>
          </w:pPr>
        </w:p>
      </w:tc>
    </w:tr>
  </w:tbl>
  <w:p w14:paraId="63D2EB37" w14:textId="77777777" w:rsidR="00D142E7" w:rsidRPr="00991A68" w:rsidRDefault="00D142E7" w:rsidP="00F73377">
    <w:pPr>
      <w:pStyle w:val="Footer"/>
      <w:rPr>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9A4E6" w14:textId="77777777" w:rsidR="006D33A9" w:rsidRDefault="006D33A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509E19AA" w14:textId="77777777" w:rsidTr="0053530C">
      <w:trPr>
        <w:trHeight w:val="508"/>
      </w:trPr>
      <w:tc>
        <w:tcPr>
          <w:tcW w:w="4923" w:type="pct"/>
        </w:tcPr>
        <w:p w14:paraId="0102C056" w14:textId="6BBB17B6" w:rsidR="00DA14CE" w:rsidRPr="001926E1" w:rsidRDefault="00991A68" w:rsidP="006D33A9">
          <w:pPr>
            <w:pStyle w:val="FiBLmmfusszeile"/>
          </w:pPr>
          <w:r>
            <w:t xml:space="preserve">Communiqué </w:t>
          </w:r>
          <w:proofErr w:type="spellStart"/>
          <w:r>
            <w:t>aux</w:t>
          </w:r>
          <w:proofErr w:type="spellEnd"/>
          <w:r>
            <w:t xml:space="preserve"> </w:t>
          </w:r>
          <w:proofErr w:type="spellStart"/>
          <w:r>
            <w:t>médias</w:t>
          </w:r>
          <w:proofErr w:type="spellEnd"/>
          <w:r>
            <w:t xml:space="preserve"> du</w:t>
          </w:r>
          <w:r w:rsidR="006D33A9">
            <w:t xml:space="preserve"> 28.05.2020</w:t>
          </w:r>
        </w:p>
      </w:tc>
      <w:tc>
        <w:tcPr>
          <w:tcW w:w="77" w:type="pct"/>
        </w:tcPr>
        <w:p w14:paraId="6199494E" w14:textId="40508B9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616703">
            <w:rPr>
              <w:noProof/>
            </w:rPr>
            <w:t>3</w:t>
          </w:r>
          <w:r w:rsidRPr="00DA14CE">
            <w:fldChar w:fldCharType="end"/>
          </w:r>
        </w:p>
      </w:tc>
    </w:tr>
  </w:tbl>
  <w:p w14:paraId="5C4B7C60" w14:textId="77777777" w:rsidR="00DA14CE" w:rsidRPr="00F73377" w:rsidRDefault="00DA14CE" w:rsidP="00F73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76FB7" w14:textId="77777777" w:rsidR="005D59D1" w:rsidRDefault="005D59D1" w:rsidP="00F53AA9">
      <w:pPr>
        <w:spacing w:after="0" w:line="240" w:lineRule="auto"/>
      </w:pPr>
      <w:r>
        <w:separator/>
      </w:r>
    </w:p>
  </w:footnote>
  <w:footnote w:type="continuationSeparator" w:id="0">
    <w:p w14:paraId="10902F1E" w14:textId="77777777" w:rsidR="005D59D1" w:rsidRDefault="005D59D1"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14B63" w14:textId="77777777" w:rsidR="006D33A9" w:rsidRDefault="006D33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080EA3ED" w14:textId="77777777" w:rsidTr="00C16594">
      <w:trPr>
        <w:trHeight w:val="599"/>
      </w:trPr>
      <w:tc>
        <w:tcPr>
          <w:tcW w:w="1616" w:type="dxa"/>
        </w:tcPr>
        <w:p w14:paraId="6F9D9505" w14:textId="77777777" w:rsidR="007666E3" w:rsidRPr="00C725B7" w:rsidRDefault="007666E3" w:rsidP="007666E3">
          <w:pPr>
            <w:pStyle w:val="FiBLmmheader"/>
          </w:pPr>
          <w:r>
            <w:rPr>
              <w:noProof/>
              <w:lang w:val="de-DE" w:eastAsia="de-DE"/>
            </w:rPr>
            <w:drawing>
              <wp:inline distT="0" distB="0" distL="0" distR="0" wp14:anchorId="562B841E" wp14:editId="5E785C05">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0B6AC0BA" w14:textId="77777777" w:rsidR="007666E3" w:rsidRDefault="007666E3" w:rsidP="007666E3">
          <w:pPr>
            <w:tabs>
              <w:tab w:val="right" w:pos="7653"/>
            </w:tabs>
          </w:pPr>
        </w:p>
      </w:tc>
      <w:tc>
        <w:tcPr>
          <w:tcW w:w="2268" w:type="dxa"/>
        </w:tcPr>
        <w:p w14:paraId="1970663B" w14:textId="77777777" w:rsidR="007666E3" w:rsidRDefault="007666E3" w:rsidP="00A033E7">
          <w:pPr>
            <w:tabs>
              <w:tab w:val="right" w:pos="7653"/>
            </w:tabs>
            <w:jc w:val="right"/>
          </w:pPr>
        </w:p>
      </w:tc>
    </w:tr>
  </w:tbl>
  <w:p w14:paraId="34B3814E" w14:textId="77777777" w:rsidR="00540DAE" w:rsidRDefault="00540DAE" w:rsidP="00E71FBF">
    <w:pPr>
      <w:tabs>
        <w:tab w:val="right" w:pos="765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BA52C" w14:textId="77777777" w:rsidR="006D33A9" w:rsidRDefault="006D33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D72D3"/>
    <w:multiLevelType w:val="hybridMultilevel"/>
    <w:tmpl w:val="95B47D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3NDI2MzIysjC2NDVT0lEKTi0uzszPAykwrAUAuRaEkywAAAA="/>
  </w:docVars>
  <w:rsids>
    <w:rsidRoot w:val="008D48AD"/>
    <w:rsid w:val="0001151E"/>
    <w:rsid w:val="00016644"/>
    <w:rsid w:val="00017DD4"/>
    <w:rsid w:val="000217FF"/>
    <w:rsid w:val="0002628D"/>
    <w:rsid w:val="00075B35"/>
    <w:rsid w:val="0008157D"/>
    <w:rsid w:val="0008708A"/>
    <w:rsid w:val="00095F6F"/>
    <w:rsid w:val="00097E74"/>
    <w:rsid w:val="000A0CF7"/>
    <w:rsid w:val="000A38B2"/>
    <w:rsid w:val="000A3B13"/>
    <w:rsid w:val="000A5CAE"/>
    <w:rsid w:val="000B007A"/>
    <w:rsid w:val="000B0550"/>
    <w:rsid w:val="000B0FC2"/>
    <w:rsid w:val="000B24EA"/>
    <w:rsid w:val="000B5156"/>
    <w:rsid w:val="000B5B24"/>
    <w:rsid w:val="000B7893"/>
    <w:rsid w:val="000C57DD"/>
    <w:rsid w:val="000C75D0"/>
    <w:rsid w:val="000D5714"/>
    <w:rsid w:val="000D7A27"/>
    <w:rsid w:val="000E460E"/>
    <w:rsid w:val="000F2BE9"/>
    <w:rsid w:val="000F5D75"/>
    <w:rsid w:val="001050BE"/>
    <w:rsid w:val="00107221"/>
    <w:rsid w:val="001146F2"/>
    <w:rsid w:val="00114A2E"/>
    <w:rsid w:val="00121047"/>
    <w:rsid w:val="001354F8"/>
    <w:rsid w:val="001356E8"/>
    <w:rsid w:val="001366DE"/>
    <w:rsid w:val="00146772"/>
    <w:rsid w:val="00151211"/>
    <w:rsid w:val="00164C87"/>
    <w:rsid w:val="0017068A"/>
    <w:rsid w:val="001711CE"/>
    <w:rsid w:val="001727F2"/>
    <w:rsid w:val="0018434A"/>
    <w:rsid w:val="00185AFC"/>
    <w:rsid w:val="001926E1"/>
    <w:rsid w:val="00192ECF"/>
    <w:rsid w:val="001950A5"/>
    <w:rsid w:val="00195EC7"/>
    <w:rsid w:val="001A2005"/>
    <w:rsid w:val="001B2B79"/>
    <w:rsid w:val="001B31D5"/>
    <w:rsid w:val="001B3DB5"/>
    <w:rsid w:val="001B5D29"/>
    <w:rsid w:val="001B6234"/>
    <w:rsid w:val="001D132D"/>
    <w:rsid w:val="001D2AF6"/>
    <w:rsid w:val="001E1C11"/>
    <w:rsid w:val="001E5C73"/>
    <w:rsid w:val="001F0A3C"/>
    <w:rsid w:val="001F27C8"/>
    <w:rsid w:val="001F529F"/>
    <w:rsid w:val="001F5462"/>
    <w:rsid w:val="001F5A7B"/>
    <w:rsid w:val="00211862"/>
    <w:rsid w:val="002203DD"/>
    <w:rsid w:val="0022639B"/>
    <w:rsid w:val="00230924"/>
    <w:rsid w:val="002608E9"/>
    <w:rsid w:val="00273D7F"/>
    <w:rsid w:val="00280674"/>
    <w:rsid w:val="0028322C"/>
    <w:rsid w:val="00287548"/>
    <w:rsid w:val="002925F1"/>
    <w:rsid w:val="00295A77"/>
    <w:rsid w:val="002A7256"/>
    <w:rsid w:val="002A7376"/>
    <w:rsid w:val="002B0872"/>
    <w:rsid w:val="002B189A"/>
    <w:rsid w:val="002B1D53"/>
    <w:rsid w:val="002C0814"/>
    <w:rsid w:val="002C3506"/>
    <w:rsid w:val="002D757B"/>
    <w:rsid w:val="002D7D78"/>
    <w:rsid w:val="002E3A4D"/>
    <w:rsid w:val="002E414D"/>
    <w:rsid w:val="002E596C"/>
    <w:rsid w:val="002E5A13"/>
    <w:rsid w:val="002F586A"/>
    <w:rsid w:val="002F60E6"/>
    <w:rsid w:val="00303A9D"/>
    <w:rsid w:val="00307447"/>
    <w:rsid w:val="00307DD8"/>
    <w:rsid w:val="003150C5"/>
    <w:rsid w:val="003241CD"/>
    <w:rsid w:val="0033039E"/>
    <w:rsid w:val="0033292F"/>
    <w:rsid w:val="0035341D"/>
    <w:rsid w:val="00357671"/>
    <w:rsid w:val="00370C0E"/>
    <w:rsid w:val="00375738"/>
    <w:rsid w:val="0037639A"/>
    <w:rsid w:val="00377568"/>
    <w:rsid w:val="00383267"/>
    <w:rsid w:val="003847CC"/>
    <w:rsid w:val="0038518C"/>
    <w:rsid w:val="00392C4A"/>
    <w:rsid w:val="003A4191"/>
    <w:rsid w:val="003A4FAB"/>
    <w:rsid w:val="003B04C3"/>
    <w:rsid w:val="003C3779"/>
    <w:rsid w:val="003C4537"/>
    <w:rsid w:val="003C6406"/>
    <w:rsid w:val="003C6464"/>
    <w:rsid w:val="003D08D5"/>
    <w:rsid w:val="003D0BFF"/>
    <w:rsid w:val="003D1138"/>
    <w:rsid w:val="003D5347"/>
    <w:rsid w:val="003E5C36"/>
    <w:rsid w:val="003F1FC0"/>
    <w:rsid w:val="0041671F"/>
    <w:rsid w:val="00423C89"/>
    <w:rsid w:val="00425689"/>
    <w:rsid w:val="00425CDF"/>
    <w:rsid w:val="00437D86"/>
    <w:rsid w:val="0044286A"/>
    <w:rsid w:val="00446B90"/>
    <w:rsid w:val="00450F2F"/>
    <w:rsid w:val="00453BD9"/>
    <w:rsid w:val="004570C7"/>
    <w:rsid w:val="0045729B"/>
    <w:rsid w:val="00465871"/>
    <w:rsid w:val="0046602F"/>
    <w:rsid w:val="004675E8"/>
    <w:rsid w:val="004703B8"/>
    <w:rsid w:val="0047200C"/>
    <w:rsid w:val="004730C6"/>
    <w:rsid w:val="00473D42"/>
    <w:rsid w:val="004762FE"/>
    <w:rsid w:val="004807B1"/>
    <w:rsid w:val="00492DF1"/>
    <w:rsid w:val="004A2AE4"/>
    <w:rsid w:val="004B3978"/>
    <w:rsid w:val="004B6C83"/>
    <w:rsid w:val="004C03E4"/>
    <w:rsid w:val="004C4067"/>
    <w:rsid w:val="004D0109"/>
    <w:rsid w:val="004D6428"/>
    <w:rsid w:val="004F613F"/>
    <w:rsid w:val="00501A6E"/>
    <w:rsid w:val="0053530C"/>
    <w:rsid w:val="00540B0E"/>
    <w:rsid w:val="00540DAE"/>
    <w:rsid w:val="00544476"/>
    <w:rsid w:val="00555C7D"/>
    <w:rsid w:val="005631CA"/>
    <w:rsid w:val="0056550F"/>
    <w:rsid w:val="00567E67"/>
    <w:rsid w:val="00571E3B"/>
    <w:rsid w:val="005753C6"/>
    <w:rsid w:val="005761D2"/>
    <w:rsid w:val="0057672E"/>
    <w:rsid w:val="00580C94"/>
    <w:rsid w:val="00582AF9"/>
    <w:rsid w:val="005867AD"/>
    <w:rsid w:val="005938C8"/>
    <w:rsid w:val="0059401F"/>
    <w:rsid w:val="00595B6C"/>
    <w:rsid w:val="005C3990"/>
    <w:rsid w:val="005D0989"/>
    <w:rsid w:val="005D59D1"/>
    <w:rsid w:val="005E2745"/>
    <w:rsid w:val="005E74FF"/>
    <w:rsid w:val="005F1359"/>
    <w:rsid w:val="005F52FF"/>
    <w:rsid w:val="005F5A7E"/>
    <w:rsid w:val="0061616C"/>
    <w:rsid w:val="00616703"/>
    <w:rsid w:val="006358BE"/>
    <w:rsid w:val="006410F4"/>
    <w:rsid w:val="00644AA3"/>
    <w:rsid w:val="00661678"/>
    <w:rsid w:val="0066529D"/>
    <w:rsid w:val="0067385E"/>
    <w:rsid w:val="00681E9E"/>
    <w:rsid w:val="0069774E"/>
    <w:rsid w:val="006B399A"/>
    <w:rsid w:val="006B4806"/>
    <w:rsid w:val="006D0FF6"/>
    <w:rsid w:val="006D33A9"/>
    <w:rsid w:val="006D4D11"/>
    <w:rsid w:val="006E612A"/>
    <w:rsid w:val="00700AC0"/>
    <w:rsid w:val="007104CF"/>
    <w:rsid w:val="00712776"/>
    <w:rsid w:val="00721C1B"/>
    <w:rsid w:val="00727486"/>
    <w:rsid w:val="0073252A"/>
    <w:rsid w:val="00736F11"/>
    <w:rsid w:val="00740452"/>
    <w:rsid w:val="007470BA"/>
    <w:rsid w:val="00754508"/>
    <w:rsid w:val="0076056E"/>
    <w:rsid w:val="00764E69"/>
    <w:rsid w:val="007666E3"/>
    <w:rsid w:val="00782789"/>
    <w:rsid w:val="00783BE6"/>
    <w:rsid w:val="0078787E"/>
    <w:rsid w:val="0079110E"/>
    <w:rsid w:val="00793238"/>
    <w:rsid w:val="007A051D"/>
    <w:rsid w:val="007A0D20"/>
    <w:rsid w:val="007A532E"/>
    <w:rsid w:val="007B3EF5"/>
    <w:rsid w:val="007C6110"/>
    <w:rsid w:val="007C691F"/>
    <w:rsid w:val="007C7E19"/>
    <w:rsid w:val="007D0ED5"/>
    <w:rsid w:val="007D6052"/>
    <w:rsid w:val="007D79E5"/>
    <w:rsid w:val="007E03DF"/>
    <w:rsid w:val="007F2027"/>
    <w:rsid w:val="00817B94"/>
    <w:rsid w:val="00823157"/>
    <w:rsid w:val="008417D3"/>
    <w:rsid w:val="008444B9"/>
    <w:rsid w:val="0084486D"/>
    <w:rsid w:val="008511F3"/>
    <w:rsid w:val="00855E5E"/>
    <w:rsid w:val="00861053"/>
    <w:rsid w:val="00864CCF"/>
    <w:rsid w:val="00866E96"/>
    <w:rsid w:val="00870F62"/>
    <w:rsid w:val="00872371"/>
    <w:rsid w:val="00893EF3"/>
    <w:rsid w:val="00895775"/>
    <w:rsid w:val="008A5E8C"/>
    <w:rsid w:val="008A693D"/>
    <w:rsid w:val="008A6B50"/>
    <w:rsid w:val="008D1259"/>
    <w:rsid w:val="008D178B"/>
    <w:rsid w:val="008D48AD"/>
    <w:rsid w:val="008E5E60"/>
    <w:rsid w:val="008F32B8"/>
    <w:rsid w:val="008F4547"/>
    <w:rsid w:val="00902DA6"/>
    <w:rsid w:val="00903511"/>
    <w:rsid w:val="009109C1"/>
    <w:rsid w:val="00912F05"/>
    <w:rsid w:val="0092022F"/>
    <w:rsid w:val="00922DAE"/>
    <w:rsid w:val="00935873"/>
    <w:rsid w:val="0094263A"/>
    <w:rsid w:val="00960939"/>
    <w:rsid w:val="00963171"/>
    <w:rsid w:val="009669B5"/>
    <w:rsid w:val="00977E62"/>
    <w:rsid w:val="00981742"/>
    <w:rsid w:val="00982A03"/>
    <w:rsid w:val="00986F71"/>
    <w:rsid w:val="00991A68"/>
    <w:rsid w:val="009B03EF"/>
    <w:rsid w:val="009B3C65"/>
    <w:rsid w:val="009B52A0"/>
    <w:rsid w:val="009B7B36"/>
    <w:rsid w:val="009C02E8"/>
    <w:rsid w:val="009C0B90"/>
    <w:rsid w:val="009C0F61"/>
    <w:rsid w:val="009C2D89"/>
    <w:rsid w:val="009C7E54"/>
    <w:rsid w:val="009D0273"/>
    <w:rsid w:val="009D4D96"/>
    <w:rsid w:val="009D5D07"/>
    <w:rsid w:val="009E7C23"/>
    <w:rsid w:val="009F0BEA"/>
    <w:rsid w:val="00A033E7"/>
    <w:rsid w:val="00A04F66"/>
    <w:rsid w:val="00A06D39"/>
    <w:rsid w:val="00A074F7"/>
    <w:rsid w:val="00A07DF4"/>
    <w:rsid w:val="00A135C6"/>
    <w:rsid w:val="00A17E51"/>
    <w:rsid w:val="00A27464"/>
    <w:rsid w:val="00A365ED"/>
    <w:rsid w:val="00A57050"/>
    <w:rsid w:val="00A624F0"/>
    <w:rsid w:val="00A83320"/>
    <w:rsid w:val="00A96A2C"/>
    <w:rsid w:val="00AA295A"/>
    <w:rsid w:val="00AB3286"/>
    <w:rsid w:val="00AB6CC3"/>
    <w:rsid w:val="00AC48D1"/>
    <w:rsid w:val="00AC6487"/>
    <w:rsid w:val="00AD0C20"/>
    <w:rsid w:val="00AE09EC"/>
    <w:rsid w:val="00AE0BAF"/>
    <w:rsid w:val="00AE749A"/>
    <w:rsid w:val="00B07C40"/>
    <w:rsid w:val="00B07D2E"/>
    <w:rsid w:val="00B116CC"/>
    <w:rsid w:val="00B11B61"/>
    <w:rsid w:val="00B147EB"/>
    <w:rsid w:val="00B169A5"/>
    <w:rsid w:val="00B25F0B"/>
    <w:rsid w:val="00B273DE"/>
    <w:rsid w:val="00B3761F"/>
    <w:rsid w:val="00B44024"/>
    <w:rsid w:val="00B61BBE"/>
    <w:rsid w:val="00B63315"/>
    <w:rsid w:val="00B702D9"/>
    <w:rsid w:val="00B76EF3"/>
    <w:rsid w:val="00B828B0"/>
    <w:rsid w:val="00BB6309"/>
    <w:rsid w:val="00BB7AF8"/>
    <w:rsid w:val="00BC05AC"/>
    <w:rsid w:val="00BD4110"/>
    <w:rsid w:val="00C10742"/>
    <w:rsid w:val="00C119DF"/>
    <w:rsid w:val="00C1349A"/>
    <w:rsid w:val="00C14AA4"/>
    <w:rsid w:val="00C14F6C"/>
    <w:rsid w:val="00C16594"/>
    <w:rsid w:val="00C32E1C"/>
    <w:rsid w:val="00C371B6"/>
    <w:rsid w:val="00C4712C"/>
    <w:rsid w:val="00C47F9E"/>
    <w:rsid w:val="00C5024C"/>
    <w:rsid w:val="00C50896"/>
    <w:rsid w:val="00C54E7B"/>
    <w:rsid w:val="00C5577F"/>
    <w:rsid w:val="00C64428"/>
    <w:rsid w:val="00C725B7"/>
    <w:rsid w:val="00C73E52"/>
    <w:rsid w:val="00C77495"/>
    <w:rsid w:val="00C81133"/>
    <w:rsid w:val="00C8256D"/>
    <w:rsid w:val="00C85547"/>
    <w:rsid w:val="00C93A6C"/>
    <w:rsid w:val="00CC3D03"/>
    <w:rsid w:val="00CD3C1D"/>
    <w:rsid w:val="00CD4B01"/>
    <w:rsid w:val="00CD6130"/>
    <w:rsid w:val="00CE1A38"/>
    <w:rsid w:val="00CF4CEC"/>
    <w:rsid w:val="00D068A8"/>
    <w:rsid w:val="00D142E7"/>
    <w:rsid w:val="00D20589"/>
    <w:rsid w:val="00D25E6E"/>
    <w:rsid w:val="00D26BAD"/>
    <w:rsid w:val="00D30DC3"/>
    <w:rsid w:val="00D31AC2"/>
    <w:rsid w:val="00D37B6F"/>
    <w:rsid w:val="00D617BE"/>
    <w:rsid w:val="00D6576C"/>
    <w:rsid w:val="00D76036"/>
    <w:rsid w:val="00D7727C"/>
    <w:rsid w:val="00D82FEC"/>
    <w:rsid w:val="00D87BDB"/>
    <w:rsid w:val="00DA14CE"/>
    <w:rsid w:val="00DA5D86"/>
    <w:rsid w:val="00DB19B8"/>
    <w:rsid w:val="00DB1BDA"/>
    <w:rsid w:val="00DB43AC"/>
    <w:rsid w:val="00DB7220"/>
    <w:rsid w:val="00DC15AC"/>
    <w:rsid w:val="00DD0000"/>
    <w:rsid w:val="00DD4470"/>
    <w:rsid w:val="00DE179D"/>
    <w:rsid w:val="00DE44EA"/>
    <w:rsid w:val="00DE61FB"/>
    <w:rsid w:val="00DF5FD6"/>
    <w:rsid w:val="00E02CC6"/>
    <w:rsid w:val="00E049BA"/>
    <w:rsid w:val="00E04BC9"/>
    <w:rsid w:val="00E06042"/>
    <w:rsid w:val="00E06F70"/>
    <w:rsid w:val="00E07849"/>
    <w:rsid w:val="00E1182F"/>
    <w:rsid w:val="00E26382"/>
    <w:rsid w:val="00E26600"/>
    <w:rsid w:val="00E32B51"/>
    <w:rsid w:val="00E433A3"/>
    <w:rsid w:val="00E570AD"/>
    <w:rsid w:val="00E6089F"/>
    <w:rsid w:val="00E64975"/>
    <w:rsid w:val="00E71FBF"/>
    <w:rsid w:val="00E74214"/>
    <w:rsid w:val="00E94993"/>
    <w:rsid w:val="00EB6A97"/>
    <w:rsid w:val="00EC109E"/>
    <w:rsid w:val="00ED0946"/>
    <w:rsid w:val="00ED0A6B"/>
    <w:rsid w:val="00ED5911"/>
    <w:rsid w:val="00ED5CCA"/>
    <w:rsid w:val="00EE1440"/>
    <w:rsid w:val="00EE2D4C"/>
    <w:rsid w:val="00EF726D"/>
    <w:rsid w:val="00F069E0"/>
    <w:rsid w:val="00F07B60"/>
    <w:rsid w:val="00F21C5E"/>
    <w:rsid w:val="00F2242B"/>
    <w:rsid w:val="00F31745"/>
    <w:rsid w:val="00F37B5A"/>
    <w:rsid w:val="00F463DB"/>
    <w:rsid w:val="00F53AA9"/>
    <w:rsid w:val="00F60E58"/>
    <w:rsid w:val="00F6745D"/>
    <w:rsid w:val="00F70B90"/>
    <w:rsid w:val="00F7314A"/>
    <w:rsid w:val="00F73377"/>
    <w:rsid w:val="00F73BB4"/>
    <w:rsid w:val="00F847D2"/>
    <w:rsid w:val="00F902AD"/>
    <w:rsid w:val="00FA326B"/>
    <w:rsid w:val="00FB2D35"/>
    <w:rsid w:val="00FB4A78"/>
    <w:rsid w:val="00FC7C7B"/>
    <w:rsid w:val="00FF1114"/>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FB7F7"/>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3C37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F53AA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C3779"/>
  </w:style>
  <w:style w:type="table" w:styleId="TableGrid">
    <w:name w:val="Table Grid"/>
    <w:basedOn w:val="TableNormal"/>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DefaultParagraphFont"/>
    <w:uiPriority w:val="99"/>
    <w:semiHidden/>
    <w:rsid w:val="002925F1"/>
    <w:rPr>
      <w:color w:val="646464" w:themeColor="hyperlink"/>
      <w:u w:val="single"/>
    </w:rPr>
  </w:style>
  <w:style w:type="paragraph" w:customStyle="1" w:styleId="FiBLmmfusszeile">
    <w:name w:val="FiBL_mm_fusszeile"/>
    <w:basedOn w:val="Normal"/>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BalloonText">
    <w:name w:val="Balloon Text"/>
    <w:basedOn w:val="Normal"/>
    <w:link w:val="BalloonTextChar"/>
    <w:uiPriority w:val="99"/>
    <w:semiHidden/>
    <w:rsid w:val="00A135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ceholderText">
    <w:name w:val="Placeholder Text"/>
    <w:basedOn w:val="DefaultParagraphFon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Normal"/>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FollowedHyperlink">
    <w:name w:val="FollowedHyperlink"/>
    <w:basedOn w:val="DefaultParagraphFont"/>
    <w:uiPriority w:val="99"/>
    <w:semiHidden/>
    <w:rsid w:val="004730C6"/>
    <w:rPr>
      <w:color w:val="969696" w:themeColor="followedHyperlink"/>
      <w:u w:val="single"/>
    </w:rPr>
  </w:style>
  <w:style w:type="paragraph" w:styleId="Header">
    <w:name w:val="header"/>
    <w:basedOn w:val="Normal"/>
    <w:link w:val="HeaderChar"/>
    <w:uiPriority w:val="99"/>
    <w:semiHidden/>
    <w:rsid w:val="00C1659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16594"/>
  </w:style>
  <w:style w:type="character" w:styleId="CommentReference">
    <w:name w:val="annotation reference"/>
    <w:basedOn w:val="DefaultParagraphFont"/>
    <w:uiPriority w:val="99"/>
    <w:semiHidden/>
    <w:rsid w:val="00121047"/>
    <w:rPr>
      <w:sz w:val="16"/>
      <w:szCs w:val="16"/>
    </w:rPr>
  </w:style>
  <w:style w:type="paragraph" w:styleId="CommentText">
    <w:name w:val="annotation text"/>
    <w:basedOn w:val="Normal"/>
    <w:link w:val="CommentTextChar"/>
    <w:uiPriority w:val="99"/>
    <w:semiHidden/>
    <w:rsid w:val="00121047"/>
    <w:pPr>
      <w:spacing w:line="240" w:lineRule="auto"/>
    </w:pPr>
    <w:rPr>
      <w:sz w:val="20"/>
      <w:szCs w:val="20"/>
    </w:rPr>
  </w:style>
  <w:style w:type="character" w:customStyle="1" w:styleId="CommentTextChar">
    <w:name w:val="Comment Text Char"/>
    <w:basedOn w:val="DefaultParagraphFont"/>
    <w:link w:val="CommentText"/>
    <w:uiPriority w:val="99"/>
    <w:semiHidden/>
    <w:rsid w:val="00121047"/>
    <w:rPr>
      <w:sz w:val="20"/>
      <w:szCs w:val="20"/>
    </w:rPr>
  </w:style>
  <w:style w:type="paragraph" w:styleId="CommentSubject">
    <w:name w:val="annotation subject"/>
    <w:basedOn w:val="CommentText"/>
    <w:next w:val="CommentText"/>
    <w:link w:val="CommentSubjectChar"/>
    <w:uiPriority w:val="99"/>
    <w:semiHidden/>
    <w:rsid w:val="00121047"/>
    <w:rPr>
      <w:b/>
      <w:bCs/>
    </w:rPr>
  </w:style>
  <w:style w:type="character" w:customStyle="1" w:styleId="CommentSubjectChar">
    <w:name w:val="Comment Subject Char"/>
    <w:basedOn w:val="CommentTextChar"/>
    <w:link w:val="CommentSubject"/>
    <w:uiPriority w:val="99"/>
    <w:semiHidden/>
    <w:rsid w:val="00121047"/>
    <w:rPr>
      <w:b/>
      <w:bCs/>
      <w:sz w:val="20"/>
      <w:szCs w:val="20"/>
    </w:rPr>
  </w:style>
  <w:style w:type="character" w:customStyle="1" w:styleId="UnresolvedMention">
    <w:name w:val="Unresolved Mention"/>
    <w:basedOn w:val="DefaultParagraphFont"/>
    <w:uiPriority w:val="99"/>
    <w:semiHidden/>
    <w:unhideWhenUsed/>
    <w:rsid w:val="001950A5"/>
    <w:rPr>
      <w:color w:val="605E5C"/>
      <w:shd w:val="clear" w:color="auto" w:fill="E1DFDD"/>
    </w:rPr>
  </w:style>
  <w:style w:type="paragraph" w:customStyle="1" w:styleId="FiBLmrstandard">
    <w:name w:val="FiBL_mr_standard"/>
    <w:qFormat/>
    <w:rsid w:val="000B24EA"/>
    <w:pPr>
      <w:spacing w:after="120" w:line="280" w:lineRule="atLeast"/>
    </w:pPr>
    <w:rPr>
      <w:rFonts w:ascii="Palatino Linotype" w:hAnsi="Palatino Linotype"/>
    </w:rPr>
  </w:style>
  <w:style w:type="paragraph" w:customStyle="1" w:styleId="FiBLmrannotationbulletpoint">
    <w:name w:val="FiBL_mr_annotation_bulletpoint"/>
    <w:basedOn w:val="Normal"/>
    <w:qFormat/>
    <w:rsid w:val="00B702D9"/>
    <w:p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title">
    <w:name w:val="FiBL_mr_annotation_title"/>
    <w:basedOn w:val="Normal"/>
    <w:qFormat/>
    <w:rsid w:val="00B702D9"/>
    <w:pPr>
      <w:keepNext/>
      <w:pBdr>
        <w:top w:val="single" w:sz="48" w:space="1" w:color="E1EDF2"/>
        <w:left w:val="single" w:sz="48" w:space="4" w:color="E1EDF2"/>
        <w:bottom w:val="single" w:sz="48" w:space="1" w:color="E1EDF2"/>
        <w:right w:val="single" w:sz="48" w:space="4" w:color="E1EDF2"/>
      </w:pBdr>
      <w:shd w:val="clear" w:color="auto" w:fill="E1EDF2"/>
      <w:spacing w:before="400" w:after="120" w:line="280" w:lineRule="atLeast"/>
      <w:ind w:left="142" w:right="170"/>
    </w:pPr>
    <w:rPr>
      <w:rFonts w:ascii="Gill Sans MT" w:hAnsi="Gill Sans M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05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robert.obrist@fibl.org" TargetMode="External"/><Relationship Id="rId26" Type="http://schemas.openxmlformats.org/officeDocument/2006/relationships/hyperlink" Target="https://www.fibl.org/de/shop/1704-planaction-bio.html" TargetMode="External"/><Relationship Id="rId3" Type="http://schemas.openxmlformats.org/officeDocument/2006/relationships/customXml" Target="../customXml/item3.xml"/><Relationship Id="rId21" Type="http://schemas.openxmlformats.org/officeDocument/2006/relationships/hyperlink" Target="https://ec.europa.eu/food/farm2fork_en" TargetMode="Externa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otto.schmid@fibl.org" TargetMode="External"/><Relationship Id="rId25" Type="http://schemas.openxmlformats.org/officeDocument/2006/relationships/hyperlink" Target="file:///C:\Users\otto.schmid\AppData\Local\Microsoft\Windows\INetCache\Content.Outlook\R04R7OC1\www.organic-world.net\yearbook\yearbook-2020.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ifoam-eu.org/en/news/2020/05/20/press-release-ifoam-eu-welcomes-landmark-decision-put-organic-heart-future-european"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ec.europa.eu/info/sites/info/files/communication-annex-farm-fork-green-deal_fr.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bernerbiooffensive.ch" TargetMode="External"/><Relationship Id="rId28" Type="http://schemas.openxmlformats.org/officeDocument/2006/relationships/hyperlink" Target="http://www.youtube.com/watch?v=ZYWxUGPHgZY" TargetMode="External"/><Relationship Id="rId10" Type="http://schemas.openxmlformats.org/officeDocument/2006/relationships/endnotes" Target="endnotes.xml"/><Relationship Id="rId19" Type="http://schemas.openxmlformats.org/officeDocument/2006/relationships/hyperlink" Target="https://ec.europa.eu/commission/presscorner/detail/fr/ip_20_884"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biokmuaargau.ch" TargetMode="External"/><Relationship Id="rId27" Type="http://schemas.openxmlformats.org/officeDocument/2006/relationships/hyperlink" Target="http://www.fibl.org"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07f4112c0cc06fef842c0b17ca85a02f">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6ba44c34f892142cc0a0dbbf99c5ad0f"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2.xml><?xml version="1.0" encoding="utf-8"?>
<ds:datastoreItem xmlns:ds="http://schemas.openxmlformats.org/officeDocument/2006/customXml" ds:itemID="{F4C99D26-69C8-4D61-B95C-DDBD9859F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4.xml><?xml version="1.0" encoding="utf-8"?>
<ds:datastoreItem xmlns:ds="http://schemas.openxmlformats.org/officeDocument/2006/customXml" ds:itemID="{0AFC713F-2501-4711-BFAE-733E98494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1057</Words>
  <Characters>6660</Characters>
  <Application>Microsoft Office Word</Application>
  <DocSecurity>0</DocSecurity>
  <Lines>55</Lines>
  <Paragraphs>15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Vorlage zur Erstellung einer Medienmitteilung (nur für die Kommunikationsgruppe)</vt:lpstr>
      <vt:lpstr>Vorlage zur Erstellung einer Medienmitteilung (nur für die Kommunikationsgruppe)</vt:lpstr>
    </vt:vector>
  </TitlesOfParts>
  <Company/>
  <LinksUpToDate>false</LinksUpToDate>
  <CharactersWithSpaces>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FiBL salue la stratégie Farm to Fork de l’UE: 25 % de terres cultivées en bio d’ici 2030 - Communiqué aux médias</dc:title>
  <dc:creator>FiBL Suisse</dc:creator>
  <cp:lastModifiedBy>Basler Andreas</cp:lastModifiedBy>
  <cp:revision>28</cp:revision>
  <cp:lastPrinted>2017-07-05T15:05:00Z</cp:lastPrinted>
  <dcterms:created xsi:type="dcterms:W3CDTF">2020-05-27T16:25:00Z</dcterms:created>
  <dcterms:modified xsi:type="dcterms:W3CDTF">2020-05-28T11:08:00Z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