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FE" w:rsidRPr="00BC60C3" w:rsidRDefault="00BC60C3" w:rsidP="003E5C36">
      <w:pPr>
        <w:pStyle w:val="FiBLmmzwischentitel"/>
        <w:rPr>
          <w:lang w:val="fr-CH"/>
        </w:rPr>
        <w:sectPr w:rsidR="004762FE" w:rsidRPr="00BC60C3" w:rsidSect="001B31D5">
          <w:headerReference w:type="default" r:id="rId8"/>
          <w:footerReference w:type="default" r:id="rId9"/>
          <w:type w:val="continuous"/>
          <w:pgSz w:w="11906" w:h="16838"/>
          <w:pgMar w:top="2268" w:right="1701" w:bottom="1701" w:left="1701" w:header="1134" w:footer="567" w:gutter="0"/>
          <w:cols w:space="708"/>
          <w:docGrid w:linePitch="360"/>
        </w:sectPr>
      </w:pPr>
      <w:r w:rsidRPr="00BC60C3">
        <w:rPr>
          <w:lang w:val="fr-CH"/>
        </w:rPr>
        <w:t>Communiqué aux médias</w:t>
      </w:r>
      <w:r w:rsidR="004762FE" w:rsidRPr="00BC60C3">
        <w:rPr>
          <w:lang w:val="fr-CH"/>
        </w:rPr>
        <w:t xml:space="preserve"> </w:t>
      </w:r>
      <w:r w:rsidR="003E5C36" w:rsidRPr="00BC60C3">
        <w:rPr>
          <w:lang w:val="fr-CH"/>
        </w:rPr>
        <w:t xml:space="preserve"> </w:t>
      </w:r>
    </w:p>
    <w:p w:rsidR="00BC60C3" w:rsidRPr="00BC60C3" w:rsidRDefault="00BC60C3" w:rsidP="00F910BB">
      <w:pPr>
        <w:pStyle w:val="FiBLmmlead"/>
        <w:rPr>
          <w:sz w:val="34"/>
          <w:lang w:val="fr-CH"/>
        </w:rPr>
      </w:pPr>
      <w:r w:rsidRPr="00BC60C3">
        <w:rPr>
          <w:sz w:val="34"/>
          <w:lang w:val="fr-CH"/>
        </w:rPr>
        <w:lastRenderedPageBreak/>
        <w:t xml:space="preserve">Inauguration de la serre pour la recherche au </w:t>
      </w:r>
      <w:proofErr w:type="spellStart"/>
      <w:r w:rsidRPr="00BC60C3">
        <w:rPr>
          <w:sz w:val="34"/>
          <w:lang w:val="fr-CH"/>
        </w:rPr>
        <w:t>FiBL</w:t>
      </w:r>
      <w:proofErr w:type="spellEnd"/>
      <w:r w:rsidRPr="00BC60C3">
        <w:rPr>
          <w:sz w:val="34"/>
          <w:lang w:val="fr-CH"/>
        </w:rPr>
        <w:t xml:space="preserve"> </w:t>
      </w:r>
    </w:p>
    <w:p w:rsidR="00BC60C3" w:rsidRDefault="00BC60C3" w:rsidP="0029672B">
      <w:pPr>
        <w:pStyle w:val="FiBLmmstandard"/>
        <w:rPr>
          <w:rFonts w:ascii="Gill Sans MT" w:hAnsi="Gill Sans MT"/>
          <w:b/>
          <w:lang w:val="fr-CH"/>
        </w:rPr>
      </w:pPr>
      <w:r w:rsidRPr="00BC60C3">
        <w:rPr>
          <w:rFonts w:ascii="Gill Sans MT" w:hAnsi="Gill Sans MT"/>
          <w:b/>
          <w:lang w:val="fr-CH"/>
        </w:rPr>
        <w:t xml:space="preserve">La première étape des travaux de construction a été </w:t>
      </w:r>
      <w:proofErr w:type="gramStart"/>
      <w:r w:rsidRPr="00BC60C3">
        <w:rPr>
          <w:rFonts w:ascii="Gill Sans MT" w:hAnsi="Gill Sans MT"/>
          <w:b/>
          <w:lang w:val="fr-CH"/>
        </w:rPr>
        <w:t>franchie:</w:t>
      </w:r>
      <w:proofErr w:type="gramEnd"/>
      <w:r w:rsidRPr="00BC60C3">
        <w:rPr>
          <w:rFonts w:ascii="Gill Sans MT" w:hAnsi="Gill Sans MT"/>
          <w:b/>
          <w:lang w:val="fr-CH"/>
        </w:rPr>
        <w:t xml:space="preserve"> la nouvelle serre de l’Institut de recherche de l’agriculture biologique </w:t>
      </w:r>
      <w:proofErr w:type="spellStart"/>
      <w:r w:rsidRPr="00BC60C3">
        <w:rPr>
          <w:rFonts w:ascii="Gill Sans MT" w:hAnsi="Gill Sans MT"/>
          <w:b/>
          <w:lang w:val="fr-CH"/>
        </w:rPr>
        <w:t>FiBL</w:t>
      </w:r>
      <w:proofErr w:type="spellEnd"/>
      <w:r w:rsidRPr="00BC60C3">
        <w:rPr>
          <w:rFonts w:ascii="Gill Sans MT" w:hAnsi="Gill Sans MT"/>
          <w:b/>
          <w:lang w:val="fr-CH"/>
        </w:rPr>
        <w:t xml:space="preserve"> a été inaugurée le 10 mai. </w:t>
      </w:r>
    </w:p>
    <w:p w:rsidR="00BC60C3" w:rsidRPr="00BC60C3" w:rsidRDefault="00BC60C3" w:rsidP="00BC60C3">
      <w:pPr>
        <w:pStyle w:val="FiBLmmstandard"/>
        <w:rPr>
          <w:lang w:val="fr-CH"/>
        </w:rPr>
      </w:pPr>
      <w:r w:rsidRPr="00BC60C3">
        <w:rPr>
          <w:lang w:val="fr-CH"/>
        </w:rPr>
        <w:t xml:space="preserve">(Frick, 10.05.2019) Le vendredi 10 mai, la nouvelle serre du </w:t>
      </w:r>
      <w:proofErr w:type="spellStart"/>
      <w:r w:rsidRPr="00BC60C3">
        <w:rPr>
          <w:lang w:val="fr-CH"/>
        </w:rPr>
        <w:t>FiBL</w:t>
      </w:r>
      <w:proofErr w:type="spellEnd"/>
      <w:r w:rsidRPr="00BC60C3">
        <w:rPr>
          <w:lang w:val="fr-CH"/>
        </w:rPr>
        <w:t xml:space="preserve"> pour la recherche expérimentale sur les plantes a été remise aux chercheuses et chercheurs de l’institut. D’une taille de 600 m2 et équipée d’une climatisation de pointe, la serre servira à l’avenir à faire avancer la sélection biologique de fruits, différentes espèces de trèfle, coton, céréales et légumes. On y pourra en outre tester des substances naturelles et des extraits de plantes pour la protection phytosanitaire biologique. La minéralisation des éléments nutritifs issus du compost et des engrais organiques est un autre sujet d’étude.</w:t>
      </w:r>
    </w:p>
    <w:p w:rsidR="00BC60C3" w:rsidRPr="00BC60C3" w:rsidRDefault="00BC60C3" w:rsidP="00BC60C3">
      <w:pPr>
        <w:pStyle w:val="FiBLmmstandard"/>
        <w:rPr>
          <w:lang w:val="fr-CH"/>
        </w:rPr>
      </w:pPr>
      <w:r w:rsidRPr="00BC60C3">
        <w:rPr>
          <w:lang w:val="fr-CH"/>
        </w:rPr>
        <w:t xml:space="preserve">À l’occasion de l’inauguration, Martin </w:t>
      </w:r>
      <w:proofErr w:type="spellStart"/>
      <w:r w:rsidRPr="00BC60C3">
        <w:rPr>
          <w:lang w:val="fr-CH"/>
        </w:rPr>
        <w:t>Ott</w:t>
      </w:r>
      <w:proofErr w:type="spellEnd"/>
      <w:r w:rsidRPr="00BC60C3">
        <w:rPr>
          <w:lang w:val="fr-CH"/>
        </w:rPr>
        <w:t xml:space="preserve">, le président du Conseil de fondation du </w:t>
      </w:r>
      <w:proofErr w:type="spellStart"/>
      <w:r w:rsidRPr="00BC60C3">
        <w:rPr>
          <w:lang w:val="fr-CH"/>
        </w:rPr>
        <w:t>FiBL</w:t>
      </w:r>
      <w:proofErr w:type="spellEnd"/>
      <w:r w:rsidRPr="00BC60C3">
        <w:rPr>
          <w:lang w:val="fr-CH"/>
        </w:rPr>
        <w:t xml:space="preserve">, a dit avoir hâte de voir bientôt encore plus de solutions pour d’importants sujets d’actualité comme la régulation sans produits chimiques des maladies des plantes et des ravageurs. </w:t>
      </w:r>
      <w:proofErr w:type="gramStart"/>
      <w:r w:rsidRPr="00BC60C3">
        <w:rPr>
          <w:lang w:val="fr-CH"/>
        </w:rPr>
        <w:t>«Nous</w:t>
      </w:r>
      <w:proofErr w:type="gramEnd"/>
      <w:r w:rsidRPr="00BC60C3">
        <w:rPr>
          <w:lang w:val="fr-CH"/>
        </w:rPr>
        <w:t xml:space="preserve"> prenons au sérieux les préoccupations de la population et les problèmes des agriculteurs», </w:t>
      </w:r>
      <w:proofErr w:type="spellStart"/>
      <w:r w:rsidRPr="00BC60C3">
        <w:rPr>
          <w:lang w:val="fr-CH"/>
        </w:rPr>
        <w:t>a-t-il</w:t>
      </w:r>
      <w:proofErr w:type="spellEnd"/>
      <w:r w:rsidRPr="00BC60C3">
        <w:rPr>
          <w:lang w:val="fr-CH"/>
        </w:rPr>
        <w:t xml:space="preserve"> souligné.</w:t>
      </w:r>
    </w:p>
    <w:p w:rsidR="00BC60C3" w:rsidRPr="00BC60C3" w:rsidRDefault="00BC60C3" w:rsidP="00BC60C3">
      <w:pPr>
        <w:pStyle w:val="FiBLmmstandard"/>
        <w:rPr>
          <w:lang w:val="fr-CH"/>
        </w:rPr>
      </w:pPr>
      <w:r w:rsidRPr="00BC60C3">
        <w:rPr>
          <w:lang w:val="fr-CH"/>
        </w:rPr>
        <w:t xml:space="preserve">La chercheuse spécialiste des tropiques, Brigitte Kaufmann de Kassel, membre du Conseil consultatif scientifique international du </w:t>
      </w:r>
      <w:proofErr w:type="spellStart"/>
      <w:r w:rsidRPr="00BC60C3">
        <w:rPr>
          <w:lang w:val="fr-CH"/>
        </w:rPr>
        <w:t>FiBL</w:t>
      </w:r>
      <w:proofErr w:type="spellEnd"/>
      <w:r w:rsidRPr="00BC60C3">
        <w:rPr>
          <w:lang w:val="fr-CH"/>
        </w:rPr>
        <w:t xml:space="preserve">, a </w:t>
      </w:r>
      <w:proofErr w:type="gramStart"/>
      <w:r w:rsidRPr="00BC60C3">
        <w:rPr>
          <w:lang w:val="fr-CH"/>
        </w:rPr>
        <w:t>déclaré:</w:t>
      </w:r>
      <w:proofErr w:type="gramEnd"/>
      <w:r w:rsidRPr="00BC60C3">
        <w:rPr>
          <w:lang w:val="fr-CH"/>
        </w:rPr>
        <w:t xml:space="preserve"> «De nombreux étudiant(e)s de notre université font leur mémoire de master en agriculture biologique à Frick et des collaborateurs du </w:t>
      </w:r>
      <w:proofErr w:type="spellStart"/>
      <w:r w:rsidRPr="00BC60C3">
        <w:rPr>
          <w:lang w:val="fr-CH"/>
        </w:rPr>
        <w:t>FiBL</w:t>
      </w:r>
      <w:proofErr w:type="spellEnd"/>
      <w:r w:rsidRPr="00BC60C3">
        <w:rPr>
          <w:lang w:val="fr-CH"/>
        </w:rPr>
        <w:t xml:space="preserve"> enseignent chez nous.» Selon elle, l’extension de l’infrastructure de recherche représente donc un atout pour les deux parties. De même, Achim Walter, professeur d’écologie des plantes à l’ETH Zurich a souligné que le </w:t>
      </w:r>
      <w:proofErr w:type="spellStart"/>
      <w:r w:rsidRPr="00BC60C3">
        <w:rPr>
          <w:lang w:val="fr-CH"/>
        </w:rPr>
        <w:t>FiBL</w:t>
      </w:r>
      <w:proofErr w:type="spellEnd"/>
      <w:r w:rsidRPr="00BC60C3">
        <w:rPr>
          <w:lang w:val="fr-CH"/>
        </w:rPr>
        <w:t xml:space="preserve">, avec sa recherche appliquée, et l’ETH, avec sa recherche fondamentale, se complétaient parfaitement. D’après lui, tous deux ont le plus grand intérêt pour l’écologie et la protection de l’environnement. Hubert </w:t>
      </w:r>
      <w:proofErr w:type="spellStart"/>
      <w:r w:rsidRPr="00BC60C3">
        <w:rPr>
          <w:lang w:val="fr-CH"/>
        </w:rPr>
        <w:t>Wiggering</w:t>
      </w:r>
      <w:proofErr w:type="spellEnd"/>
      <w:r w:rsidRPr="00BC60C3">
        <w:rPr>
          <w:lang w:val="fr-CH"/>
        </w:rPr>
        <w:t xml:space="preserve">, professeur de climatologie à l’université de Potsdam, a présenté le concept de recherche allemand pour l’agriculture biologique. </w:t>
      </w:r>
      <w:proofErr w:type="gramStart"/>
      <w:r w:rsidRPr="00BC60C3">
        <w:rPr>
          <w:lang w:val="fr-CH"/>
        </w:rPr>
        <w:t>«En</w:t>
      </w:r>
      <w:proofErr w:type="gramEnd"/>
      <w:r w:rsidRPr="00BC60C3">
        <w:rPr>
          <w:lang w:val="fr-CH"/>
        </w:rPr>
        <w:t xml:space="preserve"> Allemagne, nous voulons faire des recherches sur les mêmes sujets que ceux que le </w:t>
      </w:r>
      <w:proofErr w:type="spellStart"/>
      <w:r w:rsidRPr="00BC60C3">
        <w:rPr>
          <w:lang w:val="fr-CH"/>
        </w:rPr>
        <w:t>FiBL</w:t>
      </w:r>
      <w:proofErr w:type="spellEnd"/>
      <w:r w:rsidRPr="00BC60C3">
        <w:rPr>
          <w:lang w:val="fr-CH"/>
        </w:rPr>
        <w:t xml:space="preserve"> étudie déjà aujourd’hui», </w:t>
      </w:r>
      <w:proofErr w:type="spellStart"/>
      <w:r w:rsidRPr="00BC60C3">
        <w:rPr>
          <w:lang w:val="fr-CH"/>
        </w:rPr>
        <w:t>a-t-il</w:t>
      </w:r>
      <w:proofErr w:type="spellEnd"/>
      <w:r w:rsidRPr="00BC60C3">
        <w:rPr>
          <w:lang w:val="fr-CH"/>
        </w:rPr>
        <w:t xml:space="preserve"> affirmé. Car, selon lui, l’agriculture biologique est en plein essor. </w:t>
      </w:r>
    </w:p>
    <w:p w:rsidR="00BC60C3" w:rsidRDefault="00BC60C3" w:rsidP="00BC60C3">
      <w:pPr>
        <w:pStyle w:val="FiBLmmstandard"/>
        <w:rPr>
          <w:lang w:val="fr-CH"/>
        </w:rPr>
      </w:pPr>
      <w:r w:rsidRPr="00BC60C3">
        <w:rPr>
          <w:lang w:val="fr-CH"/>
        </w:rPr>
        <w:t xml:space="preserve">Le directeur du </w:t>
      </w:r>
      <w:proofErr w:type="spellStart"/>
      <w:r w:rsidRPr="00BC60C3">
        <w:rPr>
          <w:lang w:val="fr-CH"/>
        </w:rPr>
        <w:t>FiBL</w:t>
      </w:r>
      <w:proofErr w:type="spellEnd"/>
      <w:r w:rsidRPr="00BC60C3">
        <w:rPr>
          <w:lang w:val="fr-CH"/>
        </w:rPr>
        <w:t xml:space="preserve">, Urs Niggli, remercie le Canton d’Argovie pour l’importante contribution provenant du Fonds </w:t>
      </w:r>
      <w:proofErr w:type="spellStart"/>
      <w:r w:rsidRPr="00BC60C3">
        <w:rPr>
          <w:lang w:val="fr-CH"/>
        </w:rPr>
        <w:t>Swisslos</w:t>
      </w:r>
      <w:proofErr w:type="spellEnd"/>
      <w:r w:rsidRPr="00BC60C3">
        <w:rPr>
          <w:lang w:val="fr-CH"/>
        </w:rPr>
        <w:t xml:space="preserve">. </w:t>
      </w:r>
      <w:proofErr w:type="gramStart"/>
      <w:r w:rsidRPr="00BC60C3">
        <w:rPr>
          <w:lang w:val="fr-CH"/>
        </w:rPr>
        <w:t>«La</w:t>
      </w:r>
      <w:proofErr w:type="gramEnd"/>
      <w:r w:rsidRPr="00BC60C3">
        <w:rPr>
          <w:lang w:val="fr-CH"/>
        </w:rPr>
        <w:t xml:space="preserve"> serre est le premier jalon, que nous pouvons inaugurer aujourd’hui», s’est-il </w:t>
      </w:r>
      <w:proofErr w:type="spellStart"/>
      <w:r w:rsidRPr="00BC60C3">
        <w:rPr>
          <w:lang w:val="fr-CH"/>
        </w:rPr>
        <w:t>rejoui</w:t>
      </w:r>
      <w:proofErr w:type="spellEnd"/>
      <w:r w:rsidRPr="00BC60C3">
        <w:rPr>
          <w:lang w:val="fr-CH"/>
        </w:rPr>
        <w:t>. Une nouvelle étable et un nouveau poulailler seront prochainement construits et, d’ici 2021, d’autres constructions suivront.</w:t>
      </w:r>
    </w:p>
    <w:p w:rsidR="00BC60C3" w:rsidRPr="00BC60C3" w:rsidRDefault="00BC60C3" w:rsidP="00BC60C3">
      <w:pPr>
        <w:pStyle w:val="FiBLmmstandard"/>
        <w:rPr>
          <w:lang w:val="fr-CH"/>
        </w:rPr>
      </w:pPr>
    </w:p>
    <w:p w:rsidR="00CD4B01" w:rsidRPr="00BC60C3" w:rsidRDefault="00BC60C3" w:rsidP="00661678">
      <w:pPr>
        <w:pStyle w:val="FiBLmmzusatzinfo"/>
        <w:rPr>
          <w:lang w:val="fr-CH"/>
        </w:rPr>
      </w:pPr>
      <w:r w:rsidRPr="00BC60C3">
        <w:rPr>
          <w:lang w:val="fr-CH"/>
        </w:rPr>
        <w:lastRenderedPageBreak/>
        <w:t>Contact</w:t>
      </w:r>
    </w:p>
    <w:p w:rsidR="003C6406" w:rsidRPr="00BC60C3" w:rsidRDefault="00BC60C3" w:rsidP="00BC60C3">
      <w:pPr>
        <w:pStyle w:val="FiBLmmaufzhlungszeichen"/>
        <w:rPr>
          <w:lang w:val="it-IT"/>
        </w:rPr>
      </w:pPr>
      <w:r w:rsidRPr="00BC60C3">
        <w:rPr>
          <w:lang w:val="fr-CH"/>
        </w:rPr>
        <w:t xml:space="preserve">Urs Niggli, directeur du </w:t>
      </w:r>
      <w:proofErr w:type="spellStart"/>
      <w:r w:rsidRPr="00BC60C3">
        <w:rPr>
          <w:lang w:val="fr-CH"/>
        </w:rPr>
        <w:t>FiBL</w:t>
      </w:r>
      <w:proofErr w:type="spellEnd"/>
      <w:r w:rsidRPr="00BC60C3">
        <w:rPr>
          <w:lang w:val="fr-CH"/>
        </w:rPr>
        <w:t xml:space="preserve"> Suisse</w:t>
      </w:r>
      <w:r>
        <w:rPr>
          <w:lang w:val="fr-CH"/>
        </w:rPr>
        <w:br/>
      </w:r>
      <w:r w:rsidRPr="00BC60C3">
        <w:rPr>
          <w:lang w:val="fr-CH"/>
        </w:rPr>
        <w:t xml:space="preserve">Tél. </w:t>
      </w:r>
      <w:r w:rsidRPr="00BC60C3">
        <w:rPr>
          <w:lang w:val="it-IT"/>
        </w:rPr>
        <w:t xml:space="preserve">+41 62 </w:t>
      </w:r>
      <w:r w:rsidRPr="00BC60C3">
        <w:rPr>
          <w:lang w:val="it-IT"/>
        </w:rPr>
        <w:t>865 72 70, E-Mail urs.niggli@</w:t>
      </w:r>
      <w:r w:rsidRPr="00BC60C3">
        <w:rPr>
          <w:lang w:val="it-IT"/>
        </w:rPr>
        <w:t>fibl.org</w:t>
      </w:r>
    </w:p>
    <w:p w:rsidR="00854121" w:rsidRDefault="00BC60C3" w:rsidP="00854121">
      <w:pPr>
        <w:pStyle w:val="FiBLcminfosuppl"/>
      </w:pPr>
      <w:r w:rsidRPr="00BC60C3">
        <w:t xml:space="preserve">Conseil consultatif scientifique du </w:t>
      </w:r>
      <w:proofErr w:type="spellStart"/>
      <w:r w:rsidR="00164905" w:rsidRPr="00BC60C3">
        <w:t>FiBL</w:t>
      </w:r>
      <w:proofErr w:type="spellEnd"/>
    </w:p>
    <w:p w:rsidR="00854121" w:rsidRDefault="00854121" w:rsidP="00854121">
      <w:pPr>
        <w:pStyle w:val="FiBLmmstandard"/>
        <w:rPr>
          <w:lang w:val="fr-CH"/>
        </w:rPr>
      </w:pPr>
      <w:hyperlink r:id="rId10" w:history="1">
        <w:r w:rsidRPr="000D6558">
          <w:rPr>
            <w:rStyle w:val="Hyperlink"/>
            <w:lang w:val="fr-CH"/>
          </w:rPr>
          <w:t>https://www.fibl.org/fr/suisse/site-ch/conseil-consultatif-scientifique.html</w:t>
        </w:r>
      </w:hyperlink>
    </w:p>
    <w:p w:rsidR="0095008F" w:rsidRPr="00062187" w:rsidRDefault="0095008F" w:rsidP="0095008F">
      <w:pPr>
        <w:pStyle w:val="FiBLcminfosuppl"/>
      </w:pPr>
      <w:bookmarkStart w:id="0" w:name="_GoBack"/>
      <w:bookmarkEnd w:id="0"/>
      <w:r w:rsidRPr="00062187">
        <w:t>Ce communiqué aux médias sur Internet</w:t>
      </w:r>
    </w:p>
    <w:p w:rsidR="007C691F" w:rsidRPr="0095008F" w:rsidRDefault="0095008F" w:rsidP="007C691F">
      <w:pPr>
        <w:pStyle w:val="FiBLmmstandard"/>
        <w:rPr>
          <w:lang w:val="fr-CH"/>
        </w:rPr>
      </w:pPr>
      <w:r w:rsidRPr="0095008F">
        <w:rPr>
          <w:lang w:val="fr-CH"/>
        </w:rPr>
        <w:t xml:space="preserve">Vous trouverez ce communiqué avec des illustrations sur internet ici: </w:t>
      </w:r>
      <w:hyperlink r:id="rId11" w:history="1">
        <w:r w:rsidRPr="000D6558">
          <w:rPr>
            <w:rStyle w:val="Hyperlink"/>
            <w:lang w:val="fr-CH"/>
          </w:rPr>
          <w:t>www.fibl.org/fr/medien.html</w:t>
        </w:r>
      </w:hyperlink>
      <w:r w:rsidR="004B6C83" w:rsidRPr="0095008F">
        <w:rPr>
          <w:lang w:val="fr-CH"/>
        </w:rPr>
        <w:t>.</w:t>
      </w:r>
    </w:p>
    <w:p w:rsidR="0095008F" w:rsidRPr="00062187" w:rsidRDefault="0095008F" w:rsidP="0095008F">
      <w:pPr>
        <w:pStyle w:val="FiBLcmannotationtitre"/>
      </w:pPr>
      <w:r w:rsidRPr="00062187">
        <w:t xml:space="preserve">À propos du </w:t>
      </w:r>
      <w:proofErr w:type="spellStart"/>
      <w:r w:rsidRPr="00062187">
        <w:t>FiBL</w:t>
      </w:r>
      <w:proofErr w:type="spellEnd"/>
    </w:p>
    <w:p w:rsidR="0095008F" w:rsidRPr="00062187" w:rsidRDefault="0095008F" w:rsidP="0095008F">
      <w:pPr>
        <w:pStyle w:val="FiBLcmannotation"/>
      </w:pPr>
      <w:r w:rsidRPr="00062187">
        <w:t xml:space="preserve">L’Institut de recherche de l'agriculture biologique </w:t>
      </w:r>
      <w:proofErr w:type="spellStart"/>
      <w:r w:rsidRPr="00062187">
        <w:t>FiBL</w:t>
      </w:r>
      <w:proofErr w:type="spellEnd"/>
      <w:r w:rsidRPr="00062187">
        <w:t xml:space="preserve"> trouve depuis 1973 des solutions pour une agriculture régénérative et une alimentation durable. Quelque 280 collaborateurs s’occupent sur les différents sites du </w:t>
      </w:r>
      <w:proofErr w:type="spellStart"/>
      <w:r w:rsidRPr="00062187">
        <w:t>FiBL</w:t>
      </w:r>
      <w:proofErr w:type="spellEnd"/>
      <w:r w:rsidRPr="00062187">
        <w:t xml:space="preserve"> de la recherche, de la vulgarisation et de la formation pour l’agriculture biologique.</w:t>
      </w:r>
    </w:p>
    <w:p w:rsidR="0095008F" w:rsidRDefault="0095008F" w:rsidP="0095008F">
      <w:pPr>
        <w:pStyle w:val="FiBLcmannotationpuces"/>
        <w:numPr>
          <w:ilvl w:val="0"/>
          <w:numId w:val="4"/>
        </w:numPr>
        <w:ind w:left="426" w:hanging="284"/>
      </w:pPr>
      <w:r>
        <w:t xml:space="preserve">Page d’accueil: </w:t>
      </w:r>
      <w:hyperlink r:id="rId12" w:history="1">
        <w:r w:rsidRPr="00423D3F">
          <w:rPr>
            <w:rStyle w:val="Hyperlink"/>
          </w:rPr>
          <w:t>www.fibl.org</w:t>
        </w:r>
      </w:hyperlink>
    </w:p>
    <w:p w:rsidR="004730C6" w:rsidRPr="0095008F" w:rsidRDefault="0095008F" w:rsidP="0095008F">
      <w:pPr>
        <w:pStyle w:val="FiBLcmannotationpuces"/>
        <w:numPr>
          <w:ilvl w:val="0"/>
          <w:numId w:val="4"/>
        </w:numPr>
        <w:ind w:left="426" w:hanging="284"/>
      </w:pPr>
      <w:r>
        <w:t xml:space="preserve">Vidéo: </w:t>
      </w:r>
      <w:hyperlink r:id="rId13" w:history="1">
        <w:r w:rsidRPr="00423D3F">
          <w:rPr>
            <w:rStyle w:val="Hyperlink"/>
          </w:rPr>
          <w:t>www.youtube.com/watch?v=ZYWxUGPHgZY</w:t>
        </w:r>
      </w:hyperlink>
    </w:p>
    <w:sectPr w:rsidR="004730C6" w:rsidRPr="0095008F" w:rsidSect="001B31D5">
      <w:footerReference w:type="default" r:id="rId14"/>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63" w:rsidRDefault="00120363" w:rsidP="00F53AA9">
      <w:pPr>
        <w:spacing w:after="0" w:line="240" w:lineRule="auto"/>
      </w:pPr>
      <w:r>
        <w:separator/>
      </w:r>
    </w:p>
  </w:endnote>
  <w:endnote w:type="continuationSeparator" w:id="0">
    <w:p w:rsidR="00120363" w:rsidRDefault="0012036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95008F" w:rsidTr="00C16594">
      <w:trPr>
        <w:trHeight w:val="508"/>
      </w:trPr>
      <w:tc>
        <w:tcPr>
          <w:tcW w:w="7656" w:type="dxa"/>
        </w:tcPr>
        <w:p w:rsidR="0095008F" w:rsidRDefault="0095008F" w:rsidP="0095008F">
          <w:pPr>
            <w:pStyle w:val="FiBLcmpieddepage"/>
          </w:pPr>
          <w:r>
            <w:t>Institut de recherche de l’agriculture biologique</w:t>
          </w:r>
          <w:r w:rsidRPr="008A6B50">
            <w:t xml:space="preserve"> </w:t>
          </w:r>
          <w:proofErr w:type="spellStart"/>
          <w:r w:rsidRPr="008A6B50">
            <w:t>FiBL</w:t>
          </w:r>
          <w:proofErr w:type="spellEnd"/>
          <w:r w:rsidRPr="008A6B50">
            <w:t xml:space="preserve"> | </w:t>
          </w:r>
          <w:proofErr w:type="spellStart"/>
          <w:r w:rsidRPr="008A6B50">
            <w:t>Ackerstrasse</w:t>
          </w:r>
          <w:proofErr w:type="spellEnd"/>
          <w:r w:rsidRPr="008A6B50">
            <w:t xml:space="preserve"> 113 | </w:t>
          </w:r>
          <w:proofErr w:type="spellStart"/>
          <w:r w:rsidRPr="008A6B50">
            <w:t>Postfach</w:t>
          </w:r>
          <w:proofErr w:type="spellEnd"/>
          <w:r w:rsidRPr="008A6B50">
            <w:t xml:space="preserve"> 219 </w:t>
          </w:r>
        </w:p>
        <w:p w:rsidR="00F73377" w:rsidRPr="0095008F" w:rsidRDefault="0095008F" w:rsidP="0095008F">
          <w:pPr>
            <w:pStyle w:val="FiBLmmfusszeile"/>
            <w:rPr>
              <w:lang w:val="fr-CH"/>
            </w:rPr>
          </w:pPr>
          <w:r w:rsidRPr="0095008F">
            <w:rPr>
              <w:lang w:val="fr-CH"/>
            </w:rPr>
            <w:t xml:space="preserve">5070 Frick | Suisse | Tél +41 62 865 72 72 | </w:t>
          </w:r>
          <w:hyperlink r:id="rId1">
            <w:r w:rsidRPr="0095008F">
              <w:rPr>
                <w:lang w:val="fr-CH"/>
              </w:rPr>
              <w:t xml:space="preserve">info.suisse@fibl.org </w:t>
            </w:r>
          </w:hyperlink>
          <w:r w:rsidRPr="0095008F">
            <w:rPr>
              <w:lang w:val="fr-CH"/>
            </w:rPr>
            <w:t xml:space="preserve">| </w:t>
          </w:r>
          <w:hyperlink r:id="rId2">
            <w:r w:rsidRPr="0095008F">
              <w:rPr>
                <w:lang w:val="fr-CH"/>
              </w:rPr>
              <w:t>www.fibl.org</w:t>
            </w:r>
          </w:hyperlink>
        </w:p>
      </w:tc>
      <w:tc>
        <w:tcPr>
          <w:tcW w:w="407" w:type="dxa"/>
        </w:tcPr>
        <w:p w:rsidR="00F73377" w:rsidRPr="0095008F" w:rsidRDefault="00F73377" w:rsidP="00DA14CE">
          <w:pPr>
            <w:pStyle w:val="FiBLmmseitennummer"/>
            <w:rPr>
              <w:lang w:val="fr-CH"/>
            </w:rPr>
          </w:pPr>
        </w:p>
      </w:tc>
    </w:tr>
  </w:tbl>
  <w:p w:rsidR="00D142E7" w:rsidRPr="0095008F" w:rsidRDefault="00D142E7" w:rsidP="0095008F">
    <w:pPr>
      <w:pStyle w:val="Fuzeile"/>
      <w:rPr>
        <w:lang w:val="fr-CH"/>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95008F" w:rsidRDefault="0095008F" w:rsidP="00A91D8D">
          <w:pPr>
            <w:pStyle w:val="FiBLmmfusszeile"/>
            <w:rPr>
              <w:lang w:val="fr-CH"/>
            </w:rPr>
          </w:pPr>
          <w:r w:rsidRPr="0095008F">
            <w:rPr>
              <w:lang w:val="fr-CH"/>
            </w:rPr>
            <w:t>Communiqué aux médias du</w:t>
          </w:r>
          <w:r w:rsidR="00DA14CE" w:rsidRPr="0095008F">
            <w:rPr>
              <w:lang w:val="fr-CH"/>
            </w:rPr>
            <w:t xml:space="preserve"> </w:t>
          </w:r>
          <w:r w:rsidRPr="0095008F">
            <w:rPr>
              <w:lang w:val="fr-CH"/>
            </w:rPr>
            <w:t>10 m</w:t>
          </w:r>
          <w:r w:rsidR="00A91D8D" w:rsidRPr="0095008F">
            <w:rPr>
              <w:lang w:val="fr-CH"/>
            </w:rPr>
            <w:t>ai 2019</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854121">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63" w:rsidRDefault="00120363" w:rsidP="00F53AA9">
      <w:pPr>
        <w:spacing w:after="0" w:line="240" w:lineRule="auto"/>
      </w:pPr>
      <w:r>
        <w:separator/>
      </w:r>
    </w:p>
  </w:footnote>
  <w:footnote w:type="continuationSeparator" w:id="0">
    <w:p w:rsidR="00120363" w:rsidRDefault="0012036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lang w:val="en-US" w:eastAsia="en-US"/>
            </w:rPr>
            <w:drawing>
              <wp:inline distT="0" distB="0" distL="0" distR="0" wp14:anchorId="14DFC14F" wp14:editId="6707B7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5182"/>
    <w:rsid w:val="0001151E"/>
    <w:rsid w:val="00024F28"/>
    <w:rsid w:val="00075B35"/>
    <w:rsid w:val="0008157D"/>
    <w:rsid w:val="00097E74"/>
    <w:rsid w:val="000A0CF7"/>
    <w:rsid w:val="000A3B13"/>
    <w:rsid w:val="000B5156"/>
    <w:rsid w:val="000C75D0"/>
    <w:rsid w:val="000D5714"/>
    <w:rsid w:val="000D7A27"/>
    <w:rsid w:val="000E2836"/>
    <w:rsid w:val="000F2BE9"/>
    <w:rsid w:val="001050BE"/>
    <w:rsid w:val="00107221"/>
    <w:rsid w:val="00120363"/>
    <w:rsid w:val="001354F8"/>
    <w:rsid w:val="001366DE"/>
    <w:rsid w:val="00146772"/>
    <w:rsid w:val="0016130E"/>
    <w:rsid w:val="00162679"/>
    <w:rsid w:val="00164905"/>
    <w:rsid w:val="00164C87"/>
    <w:rsid w:val="0017068A"/>
    <w:rsid w:val="0018434A"/>
    <w:rsid w:val="001926E1"/>
    <w:rsid w:val="00195EC7"/>
    <w:rsid w:val="001A2005"/>
    <w:rsid w:val="001B0308"/>
    <w:rsid w:val="001B2B79"/>
    <w:rsid w:val="001B31D5"/>
    <w:rsid w:val="001B3DB5"/>
    <w:rsid w:val="001C204C"/>
    <w:rsid w:val="001E1C11"/>
    <w:rsid w:val="001F27C8"/>
    <w:rsid w:val="001F529F"/>
    <w:rsid w:val="00211862"/>
    <w:rsid w:val="002203DD"/>
    <w:rsid w:val="0022639B"/>
    <w:rsid w:val="00230924"/>
    <w:rsid w:val="00280674"/>
    <w:rsid w:val="002925F1"/>
    <w:rsid w:val="0029672B"/>
    <w:rsid w:val="002A7256"/>
    <w:rsid w:val="002B1D53"/>
    <w:rsid w:val="002C0814"/>
    <w:rsid w:val="002C3506"/>
    <w:rsid w:val="002D287B"/>
    <w:rsid w:val="002D757B"/>
    <w:rsid w:val="002D7D78"/>
    <w:rsid w:val="002E414D"/>
    <w:rsid w:val="002F586A"/>
    <w:rsid w:val="00303B76"/>
    <w:rsid w:val="003108F4"/>
    <w:rsid w:val="003150C5"/>
    <w:rsid w:val="003847CC"/>
    <w:rsid w:val="003A4191"/>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71E3B"/>
    <w:rsid w:val="00572FF7"/>
    <w:rsid w:val="00580C94"/>
    <w:rsid w:val="005829EC"/>
    <w:rsid w:val="005867AD"/>
    <w:rsid w:val="005938C8"/>
    <w:rsid w:val="0059401F"/>
    <w:rsid w:val="005D0989"/>
    <w:rsid w:val="005D4D46"/>
    <w:rsid w:val="005D505C"/>
    <w:rsid w:val="005F1359"/>
    <w:rsid w:val="005F5A7E"/>
    <w:rsid w:val="006410F4"/>
    <w:rsid w:val="00646E72"/>
    <w:rsid w:val="00661678"/>
    <w:rsid w:val="0066529D"/>
    <w:rsid w:val="00681E9E"/>
    <w:rsid w:val="006A3C46"/>
    <w:rsid w:val="006D0FF6"/>
    <w:rsid w:val="006D4D11"/>
    <w:rsid w:val="006E612A"/>
    <w:rsid w:val="006F1271"/>
    <w:rsid w:val="00712776"/>
    <w:rsid w:val="00727486"/>
    <w:rsid w:val="00736F11"/>
    <w:rsid w:val="00754508"/>
    <w:rsid w:val="00764E69"/>
    <w:rsid w:val="007666E3"/>
    <w:rsid w:val="00783BE6"/>
    <w:rsid w:val="0078787E"/>
    <w:rsid w:val="00793238"/>
    <w:rsid w:val="007A051D"/>
    <w:rsid w:val="007A0D20"/>
    <w:rsid w:val="007C3415"/>
    <w:rsid w:val="007C4CDD"/>
    <w:rsid w:val="007C6110"/>
    <w:rsid w:val="007C691F"/>
    <w:rsid w:val="007C7E19"/>
    <w:rsid w:val="007F2027"/>
    <w:rsid w:val="00817B94"/>
    <w:rsid w:val="00823157"/>
    <w:rsid w:val="008417D3"/>
    <w:rsid w:val="00854121"/>
    <w:rsid w:val="00861053"/>
    <w:rsid w:val="00866E96"/>
    <w:rsid w:val="00870F62"/>
    <w:rsid w:val="00872371"/>
    <w:rsid w:val="00895CA5"/>
    <w:rsid w:val="008A5E8C"/>
    <w:rsid w:val="008A6B50"/>
    <w:rsid w:val="008D48AD"/>
    <w:rsid w:val="009109C1"/>
    <w:rsid w:val="00912F05"/>
    <w:rsid w:val="0095008F"/>
    <w:rsid w:val="009669B5"/>
    <w:rsid w:val="00981742"/>
    <w:rsid w:val="00982A03"/>
    <w:rsid w:val="00986F71"/>
    <w:rsid w:val="009B52A0"/>
    <w:rsid w:val="009C0B90"/>
    <w:rsid w:val="009C0F61"/>
    <w:rsid w:val="009C7E54"/>
    <w:rsid w:val="00A033E7"/>
    <w:rsid w:val="00A04F66"/>
    <w:rsid w:val="00A135C6"/>
    <w:rsid w:val="00A17E51"/>
    <w:rsid w:val="00A27464"/>
    <w:rsid w:val="00A365ED"/>
    <w:rsid w:val="00A57050"/>
    <w:rsid w:val="00A5798D"/>
    <w:rsid w:val="00A624F0"/>
    <w:rsid w:val="00A83320"/>
    <w:rsid w:val="00A91D8D"/>
    <w:rsid w:val="00AA295A"/>
    <w:rsid w:val="00AC6487"/>
    <w:rsid w:val="00B10C0A"/>
    <w:rsid w:val="00B116CC"/>
    <w:rsid w:val="00B11B61"/>
    <w:rsid w:val="00B169A5"/>
    <w:rsid w:val="00B25F0B"/>
    <w:rsid w:val="00B273DE"/>
    <w:rsid w:val="00B351EC"/>
    <w:rsid w:val="00B44024"/>
    <w:rsid w:val="00B63BB8"/>
    <w:rsid w:val="00BB6309"/>
    <w:rsid w:val="00BB7AF8"/>
    <w:rsid w:val="00BC05AC"/>
    <w:rsid w:val="00BC60C3"/>
    <w:rsid w:val="00BF3F21"/>
    <w:rsid w:val="00C10742"/>
    <w:rsid w:val="00C14AA4"/>
    <w:rsid w:val="00C16594"/>
    <w:rsid w:val="00C46FDB"/>
    <w:rsid w:val="00C50896"/>
    <w:rsid w:val="00C54E7B"/>
    <w:rsid w:val="00C61EBC"/>
    <w:rsid w:val="00C725B7"/>
    <w:rsid w:val="00C73E52"/>
    <w:rsid w:val="00C76726"/>
    <w:rsid w:val="00C8256D"/>
    <w:rsid w:val="00C93A6C"/>
    <w:rsid w:val="00CC3D03"/>
    <w:rsid w:val="00CD4B01"/>
    <w:rsid w:val="00CE1A38"/>
    <w:rsid w:val="00CE2841"/>
    <w:rsid w:val="00CF4CEC"/>
    <w:rsid w:val="00D142E7"/>
    <w:rsid w:val="00D20589"/>
    <w:rsid w:val="00D25E6E"/>
    <w:rsid w:val="00D7727C"/>
    <w:rsid w:val="00D82FEC"/>
    <w:rsid w:val="00DA14CE"/>
    <w:rsid w:val="00DA5D86"/>
    <w:rsid w:val="00DC15AC"/>
    <w:rsid w:val="00DD0000"/>
    <w:rsid w:val="00DE44EA"/>
    <w:rsid w:val="00E06042"/>
    <w:rsid w:val="00E26382"/>
    <w:rsid w:val="00E32B51"/>
    <w:rsid w:val="00E433A3"/>
    <w:rsid w:val="00E64975"/>
    <w:rsid w:val="00E71FBF"/>
    <w:rsid w:val="00ED0946"/>
    <w:rsid w:val="00EE2D4C"/>
    <w:rsid w:val="00EF726D"/>
    <w:rsid w:val="00F07B60"/>
    <w:rsid w:val="00F21C5E"/>
    <w:rsid w:val="00F44491"/>
    <w:rsid w:val="00F463DB"/>
    <w:rsid w:val="00F53AA9"/>
    <w:rsid w:val="00F60E58"/>
    <w:rsid w:val="00F6745D"/>
    <w:rsid w:val="00F73377"/>
    <w:rsid w:val="00F910BB"/>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B9CAF"/>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paragraph" w:customStyle="1" w:styleId="FiBLcminfosuppl">
    <w:name w:val="FiBL_cm_info_suppl"/>
    <w:basedOn w:val="Standard"/>
    <w:qFormat/>
    <w:rsid w:val="0095008F"/>
    <w:pPr>
      <w:keepNext/>
      <w:spacing w:before="400" w:after="120" w:line="280" w:lineRule="atLeast"/>
    </w:pPr>
    <w:rPr>
      <w:rFonts w:ascii="Gill Sans MT" w:hAnsi="Gill Sans MT"/>
      <w:b/>
      <w:lang w:val="fr-CH"/>
    </w:rPr>
  </w:style>
  <w:style w:type="paragraph" w:customStyle="1" w:styleId="FiBLcmannotationpuces">
    <w:name w:val="FiBL_cm_annotation_puces"/>
    <w:basedOn w:val="Standard"/>
    <w:qFormat/>
    <w:rsid w:val="0095008F"/>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lang w:val="fr-CH"/>
    </w:rPr>
  </w:style>
  <w:style w:type="paragraph" w:customStyle="1" w:styleId="FiBLcmannotation">
    <w:name w:val="FiBL_cm_annotation"/>
    <w:basedOn w:val="Standard"/>
    <w:qFormat/>
    <w:rsid w:val="0095008F"/>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95008F"/>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customStyle="1" w:styleId="FiBLcmstandard">
    <w:name w:val="FiBL_cm_standard"/>
    <w:qFormat/>
    <w:rsid w:val="0095008F"/>
    <w:pPr>
      <w:spacing w:after="120" w:line="280" w:lineRule="atLeast"/>
    </w:pPr>
    <w:rPr>
      <w:rFonts w:ascii="Palatino Linotype" w:hAnsi="Palatino Linotype"/>
      <w:lang w:val="fr-CH"/>
    </w:rPr>
  </w:style>
  <w:style w:type="paragraph" w:customStyle="1" w:styleId="FiBLcmpieddepage">
    <w:name w:val="FiBL_cm_pieddepage"/>
    <w:basedOn w:val="Standard"/>
    <w:qFormat/>
    <w:rsid w:val="0095008F"/>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youtube.com/watch?v=ZYWxUGPH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bl.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bl.org/fr/medi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bl.org/fr/suisse/site-ch/conseil-consultatif-scientifiqu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C7ADB-7ADA-43BC-86B2-911B601A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Medienmitteilung "Gewächshaus für die Forschung am FiBL eingeweiht"</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«Inauguration de la serre pour la recherche au FiBL»</dc:title>
  <dc:creator>FiBL</dc:creator>
  <cp:lastModifiedBy>Wopfner Sonja</cp:lastModifiedBy>
  <cp:revision>5</cp:revision>
  <cp:lastPrinted>2019-05-10T14:28:00Z</cp:lastPrinted>
  <dcterms:created xsi:type="dcterms:W3CDTF">2019-05-16T12:24:00Z</dcterms:created>
  <dcterms:modified xsi:type="dcterms:W3CDTF">2019-05-16T13:08:00Z</dcterms:modified>
</cp:coreProperties>
</file>