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A6" w:rsidRPr="00F72D7B" w:rsidRDefault="00792E1A" w:rsidP="00CA0E00">
      <w:pPr>
        <w:pStyle w:val="Fibl18"/>
        <w:framePr w:wrap="around" w:y="3046"/>
        <w:rPr>
          <w:lang w:val="fr-CH"/>
        </w:rPr>
      </w:pPr>
      <w:bookmarkStart w:id="0" w:name="_GoBack"/>
      <w:bookmarkEnd w:id="0"/>
      <w:r w:rsidRPr="00F72D7B">
        <w:rPr>
          <w:lang w:val="fr-CH"/>
        </w:rPr>
        <w:t xml:space="preserve">Communiqué </w:t>
      </w:r>
      <w:r w:rsidR="009A14AD" w:rsidRPr="00F72D7B">
        <w:rPr>
          <w:lang w:val="fr-CH"/>
        </w:rPr>
        <w:t>aux</w:t>
      </w:r>
      <w:r w:rsidRPr="00F72D7B">
        <w:rPr>
          <w:lang w:val="fr-CH"/>
        </w:rPr>
        <w:t xml:space="preserve"> média</w:t>
      </w:r>
      <w:r w:rsidR="009A14AD" w:rsidRPr="00F72D7B">
        <w:rPr>
          <w:lang w:val="fr-CH"/>
        </w:rPr>
        <w:t>s</w:t>
      </w:r>
    </w:p>
    <w:p w:rsidR="006666A6" w:rsidRPr="00F72D7B" w:rsidRDefault="006666A6" w:rsidP="00C35894">
      <w:pPr>
        <w:pStyle w:val="Fiblueberschrift"/>
        <w:rPr>
          <w:lang w:val="fr-CH"/>
        </w:rPr>
        <w:sectPr w:rsidR="006666A6" w:rsidRPr="00F72D7B" w:rsidSect="00342AAA">
          <w:headerReference w:type="default" r:id="rId10"/>
          <w:footerReference w:type="default" r:id="rId11"/>
          <w:headerReference w:type="first" r:id="rId12"/>
          <w:footerReference w:type="first" r:id="rId13"/>
          <w:pgSz w:w="11906" w:h="16838" w:code="9"/>
          <w:pgMar w:top="3759" w:right="851" w:bottom="2778" w:left="2098" w:header="720" w:footer="720" w:gutter="0"/>
          <w:paperSrc w:first="2" w:other="11"/>
          <w:cols w:space="720"/>
          <w:titlePg/>
        </w:sectPr>
      </w:pPr>
    </w:p>
    <w:p w:rsidR="00A62CF1" w:rsidRPr="00F72D7B" w:rsidRDefault="00A62CF1" w:rsidP="00A62CF1">
      <w:pPr>
        <w:pStyle w:val="Fiblueberschrift"/>
        <w:rPr>
          <w:lang w:val="fr-CH"/>
        </w:rPr>
      </w:pPr>
      <w:r w:rsidRPr="00F72D7B">
        <w:rPr>
          <w:lang w:val="fr-CH"/>
        </w:rPr>
        <w:lastRenderedPageBreak/>
        <w:t>Claires différences dans la qualité des viandes et des laits de productio</w:t>
      </w:r>
      <w:r w:rsidR="005F0EA7">
        <w:rPr>
          <w:lang w:val="fr-CH"/>
        </w:rPr>
        <w:t>n biologique ou conventionnelle</w:t>
      </w:r>
    </w:p>
    <w:p w:rsidR="00C35894" w:rsidRPr="00F72D7B" w:rsidRDefault="00391EE2" w:rsidP="001B6565">
      <w:pPr>
        <w:pStyle w:val="Fiblueberschriftunterzeile"/>
        <w:rPr>
          <w:lang w:val="fr-CH"/>
        </w:rPr>
      </w:pPr>
      <w:r w:rsidRPr="00F72D7B">
        <w:rPr>
          <w:lang w:val="fr-CH"/>
        </w:rPr>
        <w:t>U</w:t>
      </w:r>
      <w:r w:rsidR="00F9529A" w:rsidRPr="00F72D7B">
        <w:rPr>
          <w:lang w:val="fr-CH"/>
        </w:rPr>
        <w:t xml:space="preserve">ne équipe d’experts menée par l’Université de Newcastle a montré qu’aussi bien le lait bio que la viande bio contiennent quelque 50 % de plus d’acides gras oméga 3 bons pour la santé que les produits conventionnels. </w:t>
      </w:r>
      <w:r w:rsidR="00C96233" w:rsidRPr="00F72D7B">
        <w:rPr>
          <w:lang w:val="fr-CH"/>
        </w:rPr>
        <w:t>Le FiBL a participé à la recherche</w:t>
      </w:r>
      <w:r w:rsidR="00C35894" w:rsidRPr="00F72D7B">
        <w:rPr>
          <w:lang w:val="fr-CH"/>
        </w:rPr>
        <w:t>.</w:t>
      </w:r>
    </w:p>
    <w:p w:rsidR="00C35894" w:rsidRPr="00F72D7B" w:rsidRDefault="00F9729D" w:rsidP="00EC3ABE">
      <w:pPr>
        <w:pStyle w:val="Fiblstandard"/>
        <w:rPr>
          <w:lang w:val="fr-CH"/>
        </w:rPr>
      </w:pPr>
      <w:r w:rsidRPr="00F72D7B">
        <w:rPr>
          <w:lang w:val="fr-CH"/>
        </w:rPr>
        <w:t>(Frick, 16.2</w:t>
      </w:r>
      <w:r w:rsidR="00C35894" w:rsidRPr="00F72D7B">
        <w:rPr>
          <w:lang w:val="fr-CH"/>
        </w:rPr>
        <w:t>.2016</w:t>
      </w:r>
      <w:r w:rsidR="006666A6" w:rsidRPr="00F72D7B">
        <w:rPr>
          <w:lang w:val="fr-CH"/>
        </w:rPr>
        <w:t xml:space="preserve">) </w:t>
      </w:r>
      <w:r w:rsidR="00AC6610" w:rsidRPr="00F72D7B">
        <w:rPr>
          <w:lang w:val="fr-CH"/>
        </w:rPr>
        <w:t xml:space="preserve">L’équipe a analysé des données du monde entier et étudié 196 publications scientifiques sur le lait et 67 sur la viande. Cet examen a révélé de nettes différences aussi bien entre le lait biologique et conventionnel qu’entre la viande biologique et conventionnelle, en particulier dans le domaine de la composition des acides gras et des teneurs en certains minéraux </w:t>
      </w:r>
      <w:r w:rsidR="00E25380" w:rsidRPr="00F72D7B">
        <w:rPr>
          <w:lang w:val="fr-CH"/>
        </w:rPr>
        <w:t xml:space="preserve">essentiels </w:t>
      </w:r>
      <w:r w:rsidR="00AC6610" w:rsidRPr="00F72D7B">
        <w:rPr>
          <w:lang w:val="fr-CH"/>
        </w:rPr>
        <w:t>et antioxydants.</w:t>
      </w:r>
    </w:p>
    <w:p w:rsidR="006C2500" w:rsidRPr="006C2500" w:rsidRDefault="00A26546" w:rsidP="006C2500">
      <w:pPr>
        <w:pStyle w:val="Fiblstandard"/>
        <w:rPr>
          <w:rFonts w:cs="AdvOT8608a8d1+01"/>
          <w:b/>
          <w:lang w:val="fr-CH" w:eastAsia="de-CH"/>
        </w:rPr>
      </w:pPr>
      <w:r>
        <w:rPr>
          <w:lang w:val="fr-CH"/>
        </w:rPr>
        <w:t>Les deux études montrent entre autres:</w:t>
      </w:r>
    </w:p>
    <w:p w:rsidR="00592BC7" w:rsidRPr="006C2500" w:rsidRDefault="00592BC7" w:rsidP="006C2500">
      <w:pPr>
        <w:pStyle w:val="fiblaufzaehlungzusatz"/>
        <w:rPr>
          <w:b/>
          <w:lang w:val="fr-CH"/>
        </w:rPr>
      </w:pPr>
      <w:r w:rsidRPr="006C2500">
        <w:rPr>
          <w:lang w:val="fr-CH"/>
        </w:rPr>
        <w:t>Aussi bien le lait bio que la viande bio contiennent quelque 50 % de plus d’acides gras oméga 3 bons pour la santé que les produits conventionnels.</w:t>
      </w:r>
    </w:p>
    <w:p w:rsidR="00592BC7" w:rsidRPr="00F72D7B" w:rsidRDefault="00592BC7" w:rsidP="00592BC7">
      <w:pPr>
        <w:pStyle w:val="fiblaufzaehlungzusatz"/>
        <w:rPr>
          <w:b/>
          <w:lang w:val="fr-CH"/>
        </w:rPr>
      </w:pPr>
      <w:r w:rsidRPr="00F72D7B">
        <w:rPr>
          <w:lang w:val="fr-CH"/>
        </w:rPr>
        <w:t>Le lait bio contient 40 % de plus d’acide linoléique conjugué (ALC).</w:t>
      </w:r>
    </w:p>
    <w:p w:rsidR="00C35894" w:rsidRPr="00F72D7B" w:rsidRDefault="00E350AE" w:rsidP="00E350AE">
      <w:pPr>
        <w:pStyle w:val="fiblaufzaehlungzusatz"/>
        <w:rPr>
          <w:b/>
          <w:lang w:val="fr-CH"/>
        </w:rPr>
      </w:pPr>
      <w:r w:rsidRPr="00F72D7B">
        <w:rPr>
          <w:lang w:val="fr-CH"/>
        </w:rPr>
        <w:t>Le lait bio contient un peu plus de fer, de vitamine E et de quelques caroténoïdes.</w:t>
      </w:r>
    </w:p>
    <w:p w:rsidR="005C58EB" w:rsidRPr="00F72D7B" w:rsidRDefault="008643BC" w:rsidP="008643BC">
      <w:pPr>
        <w:pStyle w:val="fiblaufzaehlungzusatz"/>
        <w:rPr>
          <w:b/>
          <w:lang w:val="fr-CH"/>
        </w:rPr>
      </w:pPr>
      <w:r w:rsidRPr="00F72D7B">
        <w:rPr>
          <w:lang w:val="fr-CH"/>
        </w:rPr>
        <w:t xml:space="preserve">Le lait conventionnel contient </w:t>
      </w:r>
      <w:r w:rsidR="00D35ED3" w:rsidRPr="00F72D7B">
        <w:rPr>
          <w:lang w:val="fr-CH"/>
        </w:rPr>
        <w:t xml:space="preserve">en moyenne </w:t>
      </w:r>
      <w:r w:rsidRPr="00F72D7B">
        <w:rPr>
          <w:lang w:val="fr-CH"/>
        </w:rPr>
        <w:t xml:space="preserve">74 % de plus d’iode, </w:t>
      </w:r>
      <w:r w:rsidR="004149C3" w:rsidRPr="00F72D7B">
        <w:rPr>
          <w:lang w:val="fr-CH"/>
        </w:rPr>
        <w:t>un</w:t>
      </w:r>
      <w:r w:rsidRPr="00F72D7B">
        <w:rPr>
          <w:lang w:val="fr-CH"/>
        </w:rPr>
        <w:t xml:space="preserve"> oligoélé</w:t>
      </w:r>
      <w:r w:rsidR="004149C3" w:rsidRPr="00F72D7B">
        <w:rPr>
          <w:lang w:val="fr-CH"/>
        </w:rPr>
        <w:t>ment essentiel</w:t>
      </w:r>
      <w:r w:rsidR="005C58EB" w:rsidRPr="00F72D7B">
        <w:rPr>
          <w:lang w:val="fr-CH"/>
        </w:rPr>
        <w:t>.</w:t>
      </w:r>
    </w:p>
    <w:p w:rsidR="00223D4A" w:rsidRPr="00F72D7B" w:rsidRDefault="00223D4A" w:rsidP="00223D4A">
      <w:pPr>
        <w:pStyle w:val="fiblaufzaehlungzusatz"/>
        <w:numPr>
          <w:ilvl w:val="0"/>
          <w:numId w:val="0"/>
        </w:numPr>
        <w:ind w:left="720"/>
        <w:rPr>
          <w:b/>
          <w:lang w:val="fr-CH"/>
        </w:rPr>
      </w:pPr>
    </w:p>
    <w:p w:rsidR="00C35894" w:rsidRPr="00F72D7B" w:rsidRDefault="00432DB7" w:rsidP="00575409">
      <w:pPr>
        <w:pStyle w:val="Fiblstandard"/>
        <w:rPr>
          <w:lang w:val="fr-CH"/>
        </w:rPr>
      </w:pPr>
      <w:r w:rsidRPr="00F72D7B">
        <w:rPr>
          <w:lang w:val="fr-CH"/>
        </w:rPr>
        <w:t xml:space="preserve">Les résultats </w:t>
      </w:r>
      <w:r w:rsidR="00572967" w:rsidRPr="00F72D7B">
        <w:rPr>
          <w:lang w:val="fr-CH"/>
        </w:rPr>
        <w:t>ont été</w:t>
      </w:r>
      <w:r w:rsidRPr="00F72D7B">
        <w:rPr>
          <w:lang w:val="fr-CH"/>
        </w:rPr>
        <w:t xml:space="preserve"> publiés le 16 février 2016 dans le </w:t>
      </w:r>
      <w:r w:rsidRPr="00F72D7B">
        <w:rPr>
          <w:i/>
          <w:lang w:val="fr-CH"/>
        </w:rPr>
        <w:t>British Journal of Nutrition</w:t>
      </w:r>
      <w:r w:rsidRPr="00F72D7B">
        <w:rPr>
          <w:lang w:val="fr-CH"/>
        </w:rPr>
        <w:t>.</w:t>
      </w:r>
      <w:r w:rsidR="00C35894" w:rsidRPr="00F72D7B">
        <w:rPr>
          <w:lang w:val="fr-CH"/>
        </w:rPr>
        <w:t xml:space="preserve"> </w:t>
      </w:r>
      <w:r w:rsidR="00691463" w:rsidRPr="00F72D7B">
        <w:rPr>
          <w:lang w:val="fr-CH"/>
        </w:rPr>
        <w:t>Selon l’équipe d’experts, les données montrent que les gens absorbent davantage d’acides gras importants sur le plan alimentaire en passant au lait bio et à la viande bio.</w:t>
      </w:r>
    </w:p>
    <w:p w:rsidR="00622B40" w:rsidRDefault="00BF3360" w:rsidP="00575409">
      <w:pPr>
        <w:pStyle w:val="Fiblstandard"/>
        <w:rPr>
          <w:lang w:val="fr-CH"/>
        </w:rPr>
      </w:pPr>
      <w:r>
        <w:rPr>
          <w:lang w:val="fr-CH"/>
        </w:rPr>
        <w:t>Les diffé</w:t>
      </w:r>
      <w:r w:rsidR="00622B40" w:rsidRPr="00622B40">
        <w:rPr>
          <w:lang w:val="fr-CH"/>
        </w:rPr>
        <w:t>rences sont principalement dues aux diff</w:t>
      </w:r>
      <w:r w:rsidR="00622B40" w:rsidRPr="00622B40">
        <w:rPr>
          <w:rFonts w:hint="eastAsia"/>
          <w:lang w:val="fr-CH"/>
        </w:rPr>
        <w:t>é</w:t>
      </w:r>
      <w:r w:rsidR="00622B40" w:rsidRPr="00622B40">
        <w:rPr>
          <w:lang w:val="fr-CH"/>
        </w:rPr>
        <w:t>rents affouragements des animaux d</w:t>
      </w:r>
      <w:r w:rsidR="00622B40" w:rsidRPr="00622B40">
        <w:rPr>
          <w:rFonts w:hint="eastAsia"/>
          <w:lang w:val="fr-CH"/>
        </w:rPr>
        <w:t>’é</w:t>
      </w:r>
      <w:r w:rsidR="00622B40" w:rsidRPr="00622B40">
        <w:rPr>
          <w:lang w:val="fr-CH"/>
        </w:rPr>
        <w:t>levage biologique et conventionnel. Les directives bio limitent fortement la part de concentr</w:t>
      </w:r>
      <w:r w:rsidR="00622B40" w:rsidRPr="00622B40">
        <w:rPr>
          <w:rFonts w:hint="eastAsia"/>
          <w:lang w:val="fr-CH"/>
        </w:rPr>
        <w:t>é</w:t>
      </w:r>
      <w:r w:rsidR="00622B40" w:rsidRPr="00622B40">
        <w:rPr>
          <w:lang w:val="fr-CH"/>
        </w:rPr>
        <w:t>s (ma</w:t>
      </w:r>
      <w:r w:rsidR="00622B40" w:rsidRPr="00622B40">
        <w:rPr>
          <w:rFonts w:hint="eastAsia"/>
          <w:lang w:val="fr-CH"/>
        </w:rPr>
        <w:t>ï</w:t>
      </w:r>
      <w:r w:rsidR="00622B40" w:rsidRPr="00622B40">
        <w:rPr>
          <w:lang w:val="fr-CH"/>
        </w:rPr>
        <w:t>s, grains, soja) dans la nourriture des ruminants (bovins, ovins, caprins). En ce qui concerne les volailles et les porcs, les directives bio promeuvent les sorties en plein air, et donc les animaux ont un meilleur acc</w:t>
      </w:r>
      <w:r w:rsidR="00622B40" w:rsidRPr="00622B40">
        <w:rPr>
          <w:rFonts w:hint="eastAsia"/>
          <w:lang w:val="fr-CH"/>
        </w:rPr>
        <w:t>è</w:t>
      </w:r>
      <w:r w:rsidR="00622B40" w:rsidRPr="00622B40">
        <w:rPr>
          <w:lang w:val="fr-CH"/>
        </w:rPr>
        <w:t xml:space="preserve">s </w:t>
      </w:r>
      <w:r w:rsidR="00622B40" w:rsidRPr="00622B40">
        <w:rPr>
          <w:rFonts w:hint="eastAsia"/>
          <w:lang w:val="fr-CH"/>
        </w:rPr>
        <w:t>à</w:t>
      </w:r>
      <w:r w:rsidR="00622B40" w:rsidRPr="00622B40">
        <w:rPr>
          <w:lang w:val="fr-CH"/>
        </w:rPr>
        <w:t xml:space="preserve"> l</w:t>
      </w:r>
      <w:r w:rsidR="00622B40" w:rsidRPr="00622B40">
        <w:rPr>
          <w:rFonts w:hint="eastAsia"/>
          <w:lang w:val="fr-CH"/>
        </w:rPr>
        <w:t>’</w:t>
      </w:r>
      <w:r w:rsidR="00622B40" w:rsidRPr="00622B40">
        <w:rPr>
          <w:lang w:val="fr-CH"/>
        </w:rPr>
        <w:t>herbe.</w:t>
      </w:r>
    </w:p>
    <w:p w:rsidR="00C35894" w:rsidRPr="00F72D7B" w:rsidRDefault="008670EB" w:rsidP="00575409">
      <w:pPr>
        <w:pStyle w:val="Fiblstandard"/>
        <w:rPr>
          <w:lang w:val="fr-CH"/>
        </w:rPr>
      </w:pPr>
      <w:r w:rsidRPr="00F72D7B">
        <w:rPr>
          <w:lang w:val="fr-CH"/>
        </w:rPr>
        <w:t xml:space="preserve">Ces études </w:t>
      </w:r>
      <w:r w:rsidR="00606EBF" w:rsidRPr="00F72D7B">
        <w:rPr>
          <w:lang w:val="fr-CH"/>
        </w:rPr>
        <w:t>s’appuie</w:t>
      </w:r>
      <w:r w:rsidRPr="00F72D7B">
        <w:rPr>
          <w:lang w:val="fr-CH"/>
        </w:rPr>
        <w:t>nt</w:t>
      </w:r>
      <w:r w:rsidR="00606EBF" w:rsidRPr="00F72D7B">
        <w:rPr>
          <w:lang w:val="fr-CH"/>
        </w:rPr>
        <w:t xml:space="preserve"> sur une </w:t>
      </w:r>
      <w:r w:rsidR="003775C5" w:rsidRPr="00F72D7B">
        <w:rPr>
          <w:lang w:val="fr-CH"/>
        </w:rPr>
        <w:t>publication</w:t>
      </w:r>
      <w:r w:rsidR="005760FB" w:rsidRPr="00F72D7B">
        <w:rPr>
          <w:lang w:val="fr-CH"/>
        </w:rPr>
        <w:t xml:space="preserve"> de 2014</w:t>
      </w:r>
      <w:r w:rsidR="00606EBF" w:rsidRPr="00F72D7B">
        <w:rPr>
          <w:lang w:val="fr-CH"/>
        </w:rPr>
        <w:t xml:space="preserve"> dans laquelle une équipe </w:t>
      </w:r>
      <w:r w:rsidR="00BE1CAB" w:rsidRPr="00F72D7B">
        <w:rPr>
          <w:lang w:val="fr-CH"/>
        </w:rPr>
        <w:t>internationale</w:t>
      </w:r>
      <w:r w:rsidR="00606EBF" w:rsidRPr="00F72D7B">
        <w:rPr>
          <w:lang w:val="fr-CH"/>
        </w:rPr>
        <w:t xml:space="preserve"> avait étudié la composition de denrées alimentaires produites en bio et en conventionnel.</w:t>
      </w:r>
      <w:r w:rsidR="00C35894" w:rsidRPr="00F72D7B">
        <w:rPr>
          <w:lang w:val="fr-CH"/>
        </w:rPr>
        <w:t xml:space="preserve"> </w:t>
      </w:r>
      <w:r w:rsidR="000167D7" w:rsidRPr="00F72D7B">
        <w:rPr>
          <w:lang w:val="fr-CH"/>
        </w:rPr>
        <w:lastRenderedPageBreak/>
        <w:t>Cette étude, elle aussi publiée dans le British Journal of Nutrition, a montré que les denrées alimentaires biologiques contiennent 60 % de plus d’antioxydants importants que les conventionnelles.</w:t>
      </w:r>
      <w:r w:rsidR="00C35894" w:rsidRPr="00F72D7B">
        <w:rPr>
          <w:lang w:val="fr-CH"/>
        </w:rPr>
        <w:t xml:space="preserve">  </w:t>
      </w:r>
    </w:p>
    <w:p w:rsidR="00F830DB" w:rsidRPr="00F72D7B" w:rsidRDefault="00445955" w:rsidP="00424148">
      <w:pPr>
        <w:pStyle w:val="Fiblstandard"/>
        <w:rPr>
          <w:lang w:val="fr-CH"/>
        </w:rPr>
      </w:pPr>
      <w:r w:rsidRPr="00F72D7B">
        <w:rPr>
          <w:lang w:val="fr-CH"/>
        </w:rPr>
        <w:t xml:space="preserve">Urs Niggli, le directeur du FiBL, en tire les conclusions </w:t>
      </w:r>
      <w:r w:rsidR="00687E8C">
        <w:rPr>
          <w:lang w:val="fr-CH"/>
        </w:rPr>
        <w:t>suivantes</w:t>
      </w:r>
      <w:r w:rsidR="009A5252" w:rsidRPr="00F72D7B">
        <w:rPr>
          <w:lang w:val="fr-CH"/>
        </w:rPr>
        <w:t>:</w:t>
      </w:r>
      <w:r w:rsidRPr="00F72D7B">
        <w:rPr>
          <w:lang w:val="fr-CH"/>
        </w:rPr>
        <w:t xml:space="preserve"> «Nous avons prouvé qu’il y a des différences dans la composition des denrées alimentaires biologiques et conventionnelles. Ces trois études sur les plantes agricoles, la viande et le lait montrent en résumé qu’on absorberait considérablement plus d’antioxydants et d’oméga 3 en s’alimentant avec des fruits, des légumes, de la viande et des produits laitiers de production biologique.»</w:t>
      </w:r>
    </w:p>
    <w:p w:rsidR="006666A6" w:rsidRPr="00F72D7B" w:rsidRDefault="00C512A1" w:rsidP="00424148">
      <w:pPr>
        <w:pStyle w:val="Fiblzusatzinfo"/>
        <w:rPr>
          <w:lang w:val="fr-CH"/>
        </w:rPr>
      </w:pPr>
      <w:r w:rsidRPr="00F72D7B">
        <w:rPr>
          <w:lang w:val="fr-CH"/>
        </w:rPr>
        <w:t>Contacts au FiBL</w:t>
      </w:r>
    </w:p>
    <w:p w:rsidR="006666A6" w:rsidRPr="009A5252" w:rsidRDefault="00F830DB" w:rsidP="004A367F">
      <w:pPr>
        <w:pStyle w:val="fiblaufzaehlungzusatz"/>
        <w:rPr>
          <w:lang w:val="it-CH"/>
        </w:rPr>
      </w:pPr>
      <w:r w:rsidRPr="00F72D7B">
        <w:rPr>
          <w:lang w:val="fr-CH"/>
        </w:rPr>
        <w:t>Prof. Dr. Urs Niggli</w:t>
      </w:r>
      <w:r w:rsidR="000C1924" w:rsidRPr="00F72D7B">
        <w:rPr>
          <w:lang w:val="fr-CH"/>
        </w:rPr>
        <w:t xml:space="preserve">, </w:t>
      </w:r>
      <w:r w:rsidR="00A10188" w:rsidRPr="00F72D7B">
        <w:rPr>
          <w:lang w:val="fr-CH"/>
        </w:rPr>
        <w:t>Directeur du</w:t>
      </w:r>
      <w:r w:rsidR="00F9729D" w:rsidRPr="00F72D7B">
        <w:rPr>
          <w:lang w:val="fr-CH"/>
        </w:rPr>
        <w:t xml:space="preserve"> </w:t>
      </w:r>
      <w:r w:rsidR="000C1924" w:rsidRPr="00F72D7B">
        <w:rPr>
          <w:lang w:val="fr-CH"/>
        </w:rPr>
        <w:t xml:space="preserve">FiBL, Tel. </w:t>
      </w:r>
      <w:r w:rsidR="000C1924" w:rsidRPr="009A5252">
        <w:rPr>
          <w:lang w:val="it-CH"/>
        </w:rPr>
        <w:t xml:space="preserve">+41 (0)62 865 </w:t>
      </w:r>
      <w:r w:rsidR="00CB717A" w:rsidRPr="009A5252">
        <w:rPr>
          <w:lang w:val="it-CH"/>
        </w:rPr>
        <w:t xml:space="preserve">72 </w:t>
      </w:r>
      <w:r w:rsidR="001B41A1" w:rsidRPr="009A5252">
        <w:rPr>
          <w:lang w:val="it-CH"/>
        </w:rPr>
        <w:t>70</w:t>
      </w:r>
      <w:r w:rsidR="000C1924" w:rsidRPr="009A5252">
        <w:rPr>
          <w:lang w:val="it-CH"/>
        </w:rPr>
        <w:t xml:space="preserve">, E-Mail </w:t>
      </w:r>
      <w:hyperlink r:id="rId14" w:history="1">
        <w:r w:rsidR="00F9729D" w:rsidRPr="009A5252">
          <w:rPr>
            <w:rStyle w:val="Hyperlink"/>
            <w:lang w:val="it-CH"/>
          </w:rPr>
          <w:t>urs.niggli</w:t>
        </w:r>
      </w:hyperlink>
      <w:r w:rsidR="00F9729D" w:rsidRPr="009A5252">
        <w:rPr>
          <w:rStyle w:val="Hyperlink"/>
          <w:lang w:val="it-CH"/>
        </w:rPr>
        <w:t xml:space="preserve">@fibl.org </w:t>
      </w:r>
    </w:p>
    <w:p w:rsidR="008F02F0" w:rsidRPr="00F72D7B" w:rsidRDefault="00F830DB" w:rsidP="00156885">
      <w:pPr>
        <w:pStyle w:val="fiblaufzaehlungzusatz"/>
        <w:rPr>
          <w:lang w:val="fr-CH"/>
        </w:rPr>
      </w:pPr>
      <w:r w:rsidRPr="00F72D7B">
        <w:rPr>
          <w:lang w:val="fr-CH"/>
        </w:rPr>
        <w:t>Franziska Hämmerli,</w:t>
      </w:r>
      <w:r w:rsidR="000C1924" w:rsidRPr="00F72D7B">
        <w:rPr>
          <w:lang w:val="fr-CH"/>
        </w:rPr>
        <w:t xml:space="preserve"> </w:t>
      </w:r>
      <w:r w:rsidR="00156885" w:rsidRPr="00F72D7B">
        <w:rPr>
          <w:lang w:val="fr-CH"/>
        </w:rPr>
        <w:t xml:space="preserve">Porte-parole médias du </w:t>
      </w:r>
      <w:r w:rsidR="00575409" w:rsidRPr="00F72D7B">
        <w:rPr>
          <w:lang w:val="fr-CH"/>
        </w:rPr>
        <w:t>FiBL</w:t>
      </w:r>
      <w:r w:rsidR="000C1924" w:rsidRPr="00F72D7B">
        <w:rPr>
          <w:lang w:val="fr-CH"/>
        </w:rPr>
        <w:t xml:space="preserve">, Tel +41 (0)62 865 72 </w:t>
      </w:r>
      <w:r w:rsidR="001B41A1" w:rsidRPr="00F72D7B">
        <w:rPr>
          <w:lang w:val="fr-CH"/>
        </w:rPr>
        <w:t>80</w:t>
      </w:r>
      <w:r w:rsidR="00575409" w:rsidRPr="00F72D7B">
        <w:rPr>
          <w:lang w:val="fr-CH"/>
        </w:rPr>
        <w:t>,</w:t>
      </w:r>
      <w:r w:rsidR="000C1924" w:rsidRPr="00F72D7B">
        <w:rPr>
          <w:lang w:val="fr-CH"/>
        </w:rPr>
        <w:t xml:space="preserve"> E-Mail </w:t>
      </w:r>
      <w:hyperlink r:id="rId15" w:history="1">
        <w:r w:rsidR="00EF14AC" w:rsidRPr="00F72D7B">
          <w:rPr>
            <w:rStyle w:val="Hyperlink"/>
            <w:lang w:val="fr-CH"/>
          </w:rPr>
          <w:t>franziska.haemmerli@fibl.org</w:t>
        </w:r>
      </w:hyperlink>
      <w:r w:rsidR="00F9729D" w:rsidRPr="00F72D7B">
        <w:rPr>
          <w:lang w:val="fr-CH"/>
        </w:rPr>
        <w:t xml:space="preserve"> </w:t>
      </w:r>
    </w:p>
    <w:p w:rsidR="008F02F0" w:rsidRPr="00F72D7B" w:rsidRDefault="008F02F0" w:rsidP="008F02F0">
      <w:pPr>
        <w:pStyle w:val="Fiblzusatzinfo"/>
        <w:rPr>
          <w:lang w:val="fr-CH"/>
        </w:rPr>
      </w:pPr>
      <w:r w:rsidRPr="00F72D7B">
        <w:rPr>
          <w:lang w:val="fr-CH"/>
        </w:rPr>
        <w:t>Citation des sources</w:t>
      </w:r>
    </w:p>
    <w:p w:rsidR="00F830DB" w:rsidRPr="00F72D7B" w:rsidRDefault="005F00AE">
      <w:pPr>
        <w:pStyle w:val="Fiblstandard"/>
        <w:rPr>
          <w:lang w:val="fr-CH"/>
        </w:rPr>
      </w:pPr>
      <w:r w:rsidRPr="00F72D7B">
        <w:rPr>
          <w:lang w:val="fr-CH"/>
        </w:rPr>
        <w:t>Les résultats présentés dans le communiqué aux médias ont été publiés dans le</w:t>
      </w:r>
      <w:r w:rsidR="00F830DB" w:rsidRPr="00F72D7B">
        <w:rPr>
          <w:lang w:val="fr-CH"/>
        </w:rPr>
        <w:t xml:space="preserve"> </w:t>
      </w:r>
      <w:r w:rsidR="00F830DB" w:rsidRPr="00F72D7B">
        <w:rPr>
          <w:rFonts w:cs="Arial"/>
          <w:i/>
          <w:lang w:val="fr-CH"/>
        </w:rPr>
        <w:t>British Journal of Nutrition</w:t>
      </w:r>
      <w:r w:rsidR="00F830DB" w:rsidRPr="00F72D7B">
        <w:rPr>
          <w:lang w:val="fr-CH"/>
        </w:rPr>
        <w:t>:</w:t>
      </w:r>
    </w:p>
    <w:p w:rsidR="00D340A5" w:rsidRPr="00F72D7B" w:rsidRDefault="008548FF">
      <w:pPr>
        <w:pStyle w:val="fiblaufzaehlungzusatz"/>
        <w:rPr>
          <w:lang w:val="fr-CH"/>
        </w:rPr>
      </w:pPr>
      <w:r w:rsidRPr="00F72D7B">
        <w:rPr>
          <w:lang w:val="fr-CH"/>
        </w:rPr>
        <w:t>Średnicka-Tober, Dominika, Marcin Barański, Chris Seal, Roy Sanderson, Charles Benbrook, Håvard Steinshamn, Joanna Gromadzka-Ostrowska, Ewa Rembiałkowska, Krystyna Skwarło-Son</w:t>
      </w:r>
      <w:r w:rsidRPr="00F72D7B">
        <w:rPr>
          <w:rFonts w:eastAsia="AdvOT8608a8d1+03"/>
          <w:lang w:val="fr-CH"/>
        </w:rPr>
        <w:t>́</w:t>
      </w:r>
      <w:r w:rsidRPr="00F72D7B">
        <w:rPr>
          <w:lang w:val="fr-CH"/>
        </w:rPr>
        <w:t xml:space="preserve">ta, Mick Eyre, Giulio Cozzi, Mette Krogh Larsen, Teresa Jordon, Urs Niggli, Tomasz Sakowski,  Philip C. Calder, Graham C. Burdge, Smaragda Sotiraki, Alexandros Stefanakis, Halil Yolcu, Sokratis Stergiadis, Eleni Chatzidimitriou, Gillian Butler, Gavin Stewart and Carlo Leifert (2016): Composition differences between organic and conventional meat: a systematic literature review and meta-analysis. </w:t>
      </w:r>
      <w:r w:rsidR="00F830DB" w:rsidRPr="00F72D7B">
        <w:rPr>
          <w:lang w:val="fr-CH"/>
        </w:rPr>
        <w:t>British Journal of Nutrition, page 1 of 18 doi:10.1017/S0007114515005073</w:t>
      </w:r>
    </w:p>
    <w:p w:rsidR="00F830DB" w:rsidRPr="00F72D7B" w:rsidRDefault="008548FF">
      <w:pPr>
        <w:pStyle w:val="fiblaufzaehlungzusatz"/>
        <w:rPr>
          <w:rFonts w:ascii="AdvOT777cf4fb" w:hAnsi="AdvOT777cf4fb" w:cs="AdvOT777cf4fb"/>
          <w:color w:val="auto"/>
          <w:sz w:val="17"/>
          <w:szCs w:val="17"/>
          <w:lang w:val="fr-CH"/>
        </w:rPr>
      </w:pPr>
      <w:r w:rsidRPr="00F72D7B">
        <w:rPr>
          <w:lang w:val="fr-CH"/>
        </w:rPr>
        <w:t>Średnicka-Tober, Dominika, Marcin Barański, Chris Seal, Roy Sanderson, Charles Benbrook, Håvard Steinshamn, Joanna Gromadzka-Ostrowska, Ewa Rembiałkowska, Krystyna Skwarło-Son</w:t>
      </w:r>
      <w:r w:rsidRPr="00F72D7B">
        <w:rPr>
          <w:rFonts w:eastAsia="AdvOT8608a8d1+03"/>
          <w:lang w:val="fr-CH"/>
        </w:rPr>
        <w:t>́</w:t>
      </w:r>
      <w:r w:rsidRPr="00F72D7B">
        <w:rPr>
          <w:lang w:val="fr-CH"/>
        </w:rPr>
        <w:t xml:space="preserve">ta, Mick Eyre, Giulio Cozzi, Mette Krogh Larsen, Teresa Jordon, Urs Niggli, Tomasz Sakowski, Philip C. Calder, Graham C. Burdge, Smaragda Sotiraki, Alexandros Stefanakis, Halil Yolcu, Sokratis Stergiadis, Eleni Chatzidimitriou, Gillian Butler, Gavin Stewart and Carlo Leifert (2016): Higher PUFA and n-3 PUFA, CLA, α-tocopherol and iron, but lower iodine and selenium concentrations in organic milk: a systematic </w:t>
      </w:r>
      <w:r w:rsidR="00AD0BDF" w:rsidRPr="00F72D7B">
        <w:rPr>
          <w:lang w:val="fr-CH"/>
        </w:rPr>
        <w:t>literature review</w:t>
      </w:r>
      <w:r w:rsidRPr="00F72D7B">
        <w:rPr>
          <w:lang w:val="fr-CH"/>
        </w:rPr>
        <w:t xml:space="preserve"> and meta- and redundancy analyses. </w:t>
      </w:r>
      <w:r w:rsidR="00F830DB" w:rsidRPr="00F72D7B">
        <w:rPr>
          <w:lang w:val="fr-CH"/>
        </w:rPr>
        <w:t>British Journal of Nutrition, page 1 of 18 doi:10.1017/S0007114516000349</w:t>
      </w:r>
    </w:p>
    <w:p w:rsidR="000C1924" w:rsidRPr="00F72D7B" w:rsidRDefault="00552D81" w:rsidP="008D67BF">
      <w:pPr>
        <w:pStyle w:val="Fiblzusatzinfo"/>
        <w:rPr>
          <w:lang w:val="fr-CH"/>
        </w:rPr>
      </w:pPr>
      <w:r w:rsidRPr="00F72D7B">
        <w:rPr>
          <w:lang w:val="fr-CH"/>
        </w:rPr>
        <w:lastRenderedPageBreak/>
        <w:t>Lien</w:t>
      </w:r>
      <w:r w:rsidR="007E312A" w:rsidRPr="00F72D7B">
        <w:rPr>
          <w:lang w:val="fr-CH"/>
        </w:rPr>
        <w:t>s</w:t>
      </w:r>
    </w:p>
    <w:p w:rsidR="000C1924" w:rsidRPr="00F72D7B" w:rsidRDefault="007E312A" w:rsidP="005C52B6">
      <w:pPr>
        <w:pStyle w:val="fiblaufzaehlungzusatz"/>
        <w:rPr>
          <w:lang w:val="fr-CH"/>
        </w:rPr>
      </w:pPr>
      <w:r w:rsidRPr="00F72D7B">
        <w:rPr>
          <w:lang w:val="fr-CH"/>
        </w:rPr>
        <w:t>Informations aux médias</w:t>
      </w:r>
      <w:r w:rsidR="004B1DAA" w:rsidRPr="00F72D7B">
        <w:rPr>
          <w:lang w:val="fr-CH"/>
        </w:rPr>
        <w:t xml:space="preserve"> (en anglais</w:t>
      </w:r>
      <w:r w:rsidR="0032537E" w:rsidRPr="00F72D7B">
        <w:rPr>
          <w:lang w:val="fr-CH"/>
        </w:rPr>
        <w:t>)</w:t>
      </w:r>
      <w:r w:rsidR="00AD0BDF" w:rsidRPr="00F72D7B">
        <w:rPr>
          <w:lang w:val="fr-CH"/>
        </w:rPr>
        <w:t xml:space="preserve">: </w:t>
      </w:r>
      <w:hyperlink r:id="rId16" w:history="1">
        <w:r w:rsidR="002D15ED" w:rsidRPr="00F72D7B">
          <w:rPr>
            <w:rStyle w:val="Hyperlink"/>
            <w:lang w:val="fr-CH"/>
          </w:rPr>
          <w:t>http://research.ncl.ac.uk/nefg/QOF/page.php?page=1</w:t>
        </w:r>
      </w:hyperlink>
      <w:r w:rsidR="00EF14AC" w:rsidRPr="00F72D7B">
        <w:rPr>
          <w:lang w:val="fr-CH"/>
        </w:rPr>
        <w:t>:</w:t>
      </w:r>
    </w:p>
    <w:p w:rsidR="00EF14AC" w:rsidRPr="00721DCF" w:rsidRDefault="00721DCF" w:rsidP="00721DCF">
      <w:pPr>
        <w:pStyle w:val="fiblaufzaehlungzusatz"/>
        <w:rPr>
          <w:lang w:val="fr-CH"/>
        </w:rPr>
      </w:pPr>
      <w:r>
        <w:rPr>
          <w:lang w:val="fr-CH"/>
        </w:rPr>
        <w:t>Plus d’information</w:t>
      </w:r>
      <w:r w:rsidRPr="00721DCF">
        <w:rPr>
          <w:lang w:val="fr-CH"/>
        </w:rPr>
        <w:t xml:space="preserve"> </w:t>
      </w:r>
      <w:r>
        <w:rPr>
          <w:lang w:val="fr-CH"/>
        </w:rPr>
        <w:t xml:space="preserve">sur l’étude </w:t>
      </w:r>
      <w:r w:rsidR="00557AD9">
        <w:rPr>
          <w:lang w:val="fr-CH"/>
        </w:rPr>
        <w:t xml:space="preserve">de </w:t>
      </w:r>
      <w:r w:rsidR="0087170A" w:rsidRPr="00721DCF">
        <w:rPr>
          <w:lang w:val="fr-CH"/>
        </w:rPr>
        <w:t>qualité de lait biologique</w:t>
      </w:r>
      <w:r w:rsidR="00EF14AC" w:rsidRPr="00721DCF">
        <w:rPr>
          <w:lang w:val="fr-CH"/>
        </w:rPr>
        <w:t xml:space="preserve">: </w:t>
      </w:r>
      <w:hyperlink r:id="rId17" w:history="1">
        <w:r w:rsidR="0087170A" w:rsidRPr="009459C7">
          <w:rPr>
            <w:rStyle w:val="Hyperlink"/>
            <w:lang w:val="fr-CH"/>
          </w:rPr>
          <w:t>http://research.ncl.ac.uk/nefg/QOF/dairy/page.php?LAN=FR</w:t>
        </w:r>
      </w:hyperlink>
    </w:p>
    <w:p w:rsidR="00EF14AC" w:rsidRPr="0087170A" w:rsidRDefault="00721DCF" w:rsidP="00A0455D">
      <w:pPr>
        <w:pStyle w:val="fiblaufzaehlungzusatz"/>
        <w:rPr>
          <w:lang w:val="fr-CH"/>
        </w:rPr>
      </w:pPr>
      <w:r>
        <w:rPr>
          <w:lang w:val="fr-CH"/>
        </w:rPr>
        <w:t>Plus d’information</w:t>
      </w:r>
      <w:r w:rsidRPr="00721DCF">
        <w:rPr>
          <w:lang w:val="fr-CH"/>
        </w:rPr>
        <w:t xml:space="preserve"> </w:t>
      </w:r>
      <w:r>
        <w:rPr>
          <w:lang w:val="fr-CH"/>
        </w:rPr>
        <w:t xml:space="preserve">sur l’étude </w:t>
      </w:r>
      <w:r w:rsidR="00557AD9">
        <w:rPr>
          <w:lang w:val="fr-CH"/>
        </w:rPr>
        <w:t xml:space="preserve">de </w:t>
      </w:r>
      <w:r w:rsidR="0087170A" w:rsidRPr="0087170A">
        <w:rPr>
          <w:lang w:val="fr-CH"/>
        </w:rPr>
        <w:t>qualité de viande biologique</w:t>
      </w:r>
      <w:r w:rsidR="00EF14AC" w:rsidRPr="0087170A">
        <w:rPr>
          <w:lang w:val="fr-CH"/>
        </w:rPr>
        <w:t xml:space="preserve">: </w:t>
      </w:r>
      <w:hyperlink r:id="rId18" w:history="1">
        <w:r w:rsidR="00A0455D" w:rsidRPr="0087170A">
          <w:rPr>
            <w:rStyle w:val="Hyperlink"/>
            <w:lang w:val="fr-CH"/>
          </w:rPr>
          <w:t>http://research.ncl.ac.uk/nefg/QOF/meat/page.php?LAN=FR</w:t>
        </w:r>
      </w:hyperlink>
    </w:p>
    <w:p w:rsidR="001A64B9" w:rsidRPr="00F72D7B" w:rsidRDefault="001A64B9" w:rsidP="001A64B9">
      <w:pPr>
        <w:pStyle w:val="Fiblzusatzinfo"/>
        <w:rPr>
          <w:lang w:val="fr-CH"/>
        </w:rPr>
      </w:pPr>
      <w:r w:rsidRPr="00F72D7B">
        <w:rPr>
          <w:lang w:val="fr-CH"/>
        </w:rPr>
        <w:t>Ce communiqué sur Internet</w:t>
      </w:r>
    </w:p>
    <w:p w:rsidR="001A64B9" w:rsidRPr="00F72D7B" w:rsidRDefault="001A64B9" w:rsidP="001A64B9">
      <w:pPr>
        <w:pStyle w:val="Fiblstandard"/>
        <w:rPr>
          <w:lang w:val="fr-CH"/>
        </w:rPr>
      </w:pPr>
      <w:r w:rsidRPr="00F72D7B">
        <w:rPr>
          <w:lang w:val="fr-CH"/>
        </w:rPr>
        <w:t xml:space="preserve">Vous trouvez ce communiqué avec des informations de fond sur Internet: </w:t>
      </w:r>
      <w:hyperlink r:id="rId19" w:history="1">
        <w:r w:rsidRPr="00F72D7B">
          <w:rPr>
            <w:rStyle w:val="Hyperlink"/>
            <w:lang w:val="fr-CH"/>
          </w:rPr>
          <w:t>www.fibl.org/fr/medias.html</w:t>
        </w:r>
      </w:hyperlink>
      <w:r w:rsidRPr="00F72D7B">
        <w:rPr>
          <w:lang w:val="fr-CH"/>
        </w:rPr>
        <w:t>.</w:t>
      </w:r>
    </w:p>
    <w:sectPr w:rsidR="001A64B9" w:rsidRPr="00F72D7B"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2A" w:rsidRDefault="004A232A" w:rsidP="006666A6">
      <w:pPr>
        <w:pStyle w:val="Fuzeile"/>
      </w:pPr>
      <w:r>
        <w:separator/>
      </w:r>
    </w:p>
  </w:endnote>
  <w:endnote w:type="continuationSeparator" w:id="0">
    <w:p w:rsidR="004A232A" w:rsidRDefault="004A232A"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Times New Roman"/>
    <w:charset w:val="00"/>
    <w:family w:val="auto"/>
    <w:pitch w:val="default"/>
  </w:font>
  <w:font w:name="Formata Bold">
    <w:altName w:val="Courier New"/>
    <w:charset w:val="00"/>
    <w:family w:val="auto"/>
    <w:pitch w:val="variable"/>
    <w:sig w:usb0="03000003" w:usb1="00000000" w:usb2="00000000" w:usb3="00000000" w:csb0="00000001" w:csb1="00000000"/>
  </w:font>
  <w:font w:name="AdvOT8608a8d1+01">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AdvOT8608a8d1+03">
    <w:altName w:val="MS Mincho"/>
    <w:panose1 w:val="00000000000000000000"/>
    <w:charset w:val="80"/>
    <w:family w:val="auto"/>
    <w:notTrueType/>
    <w:pitch w:val="default"/>
    <w:sig w:usb0="00000001" w:usb1="08070000" w:usb2="00000010" w:usb3="00000000" w:csb0="00020000" w:csb1="00000000"/>
  </w:font>
  <w:font w:name="AdvOT777cf4f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pPr>
      <w:jc w:val="center"/>
    </w:pPr>
    <w:r>
      <w:rPr>
        <w:noProof/>
        <w:sz w:val="20"/>
        <w:lang w:eastAsia="de-CH"/>
      </w:rPr>
      <mc:AlternateContent>
        <mc:Choice Requires="wps">
          <w:drawing>
            <wp:anchor distT="0" distB="0" distL="114300" distR="114300" simplePos="0" relativeHeight="251654144" behindDoc="0" locked="0" layoutInCell="1" allowOverlap="0" wp14:anchorId="2ADD191B" wp14:editId="7F18FD3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D191B"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sidP="0077182D">
    <w:pPr>
      <w:pStyle w:val="FiblKopfzeile"/>
      <w:tabs>
        <w:tab w:val="clear" w:pos="4536"/>
        <w:tab w:val="clear" w:pos="9072"/>
        <w:tab w:val="right" w:pos="7597"/>
        <w:tab w:val="right" w:pos="8931"/>
      </w:tabs>
      <w:jc w:val="left"/>
    </w:pPr>
    <w:r w:rsidRPr="00D23445">
      <w:rPr>
        <w:noProof/>
        <w:lang w:eastAsia="de-CH"/>
      </w:rPr>
      <mc:AlternateContent>
        <mc:Choice Requires="wps">
          <w:drawing>
            <wp:anchor distT="0" distB="0" distL="114300" distR="114300" simplePos="0" relativeHeight="251657728" behindDoc="0" locked="0" layoutInCell="1" allowOverlap="1" wp14:anchorId="6758160E" wp14:editId="3952F619">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160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D23445">
      <w:rPr>
        <w:noProof/>
        <w:lang w:eastAsia="de-CH"/>
      </w:rPr>
      <w:drawing>
        <wp:anchor distT="0" distB="0" distL="114300" distR="114300" simplePos="0" relativeHeight="251660800" behindDoc="1" locked="1" layoutInCell="1" allowOverlap="1" wp14:anchorId="3EB7DCD9" wp14:editId="2EA03A6A">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D23445">
      <w:rPr>
        <w:noProof/>
        <w:lang w:eastAsia="de-CH"/>
      </w:rPr>
      <mc:AlternateContent>
        <mc:Choice Requires="wps">
          <w:drawing>
            <wp:anchor distT="0" distB="0" distL="114300" distR="114300" simplePos="0" relativeHeight="251654656" behindDoc="0" locked="0" layoutInCell="1" allowOverlap="1" wp14:anchorId="53EDB638" wp14:editId="617467A5">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B638" id="Text Box 10" o:spid="_x0000_s1029" type="#_x0000_t202" style="position:absolute;margin-left:107.75pt;margin-top:749.85pt;width:256.3pt;height:34.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7E6ED5">
      <w:rPr>
        <w:noProof/>
        <w:lang w:eastAsia="de-CH"/>
      </w:rPr>
      <w:t>Communiqué aux médias</w:t>
    </w:r>
    <w:r w:rsidR="00881732" w:rsidRPr="00D23445">
      <w:t xml:space="preserve"> </w:t>
    </w:r>
    <w:r w:rsidR="007E6ED5">
      <w:t>d</w:t>
    </w:r>
    <w:r w:rsidR="00274AA6">
      <w:t>u</w:t>
    </w:r>
    <w:r w:rsidR="00881732" w:rsidRPr="00D23445">
      <w:t xml:space="preserve"> </w:t>
    </w:r>
    <w:r w:rsidR="00881732" w:rsidRPr="00D23445">
      <w:fldChar w:fldCharType="begin"/>
    </w:r>
    <w:r w:rsidR="00881732" w:rsidRPr="00D23445">
      <w:instrText xml:space="preserve"> SAVEDATE  \@ "dd.MM.yyyy"  \* MERGEFORMAT </w:instrText>
    </w:r>
    <w:r w:rsidR="00881732" w:rsidRPr="00D23445">
      <w:fldChar w:fldCharType="separate"/>
    </w:r>
    <w:r w:rsidR="0009385D">
      <w:rPr>
        <w:noProof/>
      </w:rPr>
      <w:t>18.02.2016</w:t>
    </w:r>
    <w:r w:rsidR="00881732" w:rsidRPr="00D23445">
      <w:fldChar w:fldCharType="end"/>
    </w:r>
    <w:r w:rsidR="00881732" w:rsidRPr="00D23445">
      <w:tab/>
    </w:r>
    <w:r w:rsidR="009F0658" w:rsidRPr="00D23445">
      <w:tab/>
    </w:r>
    <w:r w:rsidR="007E6ED5">
      <w:t>Page</w:t>
    </w:r>
    <w:r w:rsidR="00881732" w:rsidRPr="00D23445">
      <w:t xml:space="preserve"> </w:t>
    </w:r>
    <w:r w:rsidR="00881732" w:rsidRPr="00D23445">
      <w:fldChar w:fldCharType="begin"/>
    </w:r>
    <w:r w:rsidR="00881732" w:rsidRPr="00D23445">
      <w:instrText xml:space="preserve"> PAGE </w:instrText>
    </w:r>
    <w:r w:rsidR="00881732" w:rsidRPr="00D23445">
      <w:fldChar w:fldCharType="separate"/>
    </w:r>
    <w:r w:rsidR="0009385D">
      <w:rPr>
        <w:noProof/>
      </w:rPr>
      <w:t>1</w:t>
    </w:r>
    <w:r w:rsidR="00881732" w:rsidRPr="00D2344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Pr="009F0658" w:rsidRDefault="007E6ED5" w:rsidP="009F0658">
    <w:pPr>
      <w:pStyle w:val="FiblKopfzeile"/>
      <w:tabs>
        <w:tab w:val="clear" w:pos="4536"/>
        <w:tab w:val="clear" w:pos="9072"/>
        <w:tab w:val="right" w:pos="7597"/>
        <w:tab w:val="right" w:pos="8931"/>
      </w:tabs>
      <w:jc w:val="left"/>
    </w:pPr>
    <w:r>
      <w:t>Communiqué aux médias</w:t>
    </w:r>
    <w:r w:rsidR="009F0658" w:rsidRPr="00D23445">
      <w:t xml:space="preserve"> </w:t>
    </w:r>
    <w:r>
      <w:t>d</w:t>
    </w:r>
    <w:r w:rsidR="00274AA6">
      <w:t>u</w:t>
    </w:r>
    <w:r w:rsidR="009F0658" w:rsidRPr="00D23445">
      <w:t xml:space="preserve"> </w:t>
    </w:r>
    <w:r w:rsidR="009F0658" w:rsidRPr="00D23445">
      <w:fldChar w:fldCharType="begin"/>
    </w:r>
    <w:r w:rsidR="009F0658" w:rsidRPr="00D23445">
      <w:instrText xml:space="preserve"> SAVEDATE  \@ "dd.MM.yyyy"  \* MERGEFORMAT </w:instrText>
    </w:r>
    <w:r w:rsidR="009F0658" w:rsidRPr="00D23445">
      <w:fldChar w:fldCharType="separate"/>
    </w:r>
    <w:r w:rsidR="0009385D">
      <w:rPr>
        <w:noProof/>
      </w:rPr>
      <w:t>18.02.2016</w:t>
    </w:r>
    <w:r w:rsidR="009F0658" w:rsidRPr="00D23445">
      <w:fldChar w:fldCharType="end"/>
    </w:r>
    <w:r w:rsidR="009F0658" w:rsidRPr="00D23445">
      <w:tab/>
    </w:r>
    <w:r w:rsidR="009F0658" w:rsidRPr="00D23445">
      <w:tab/>
    </w:r>
    <w:r>
      <w:t>Page</w:t>
    </w:r>
    <w:r w:rsidR="009F0658" w:rsidRPr="00D23445">
      <w:t xml:space="preserve"> </w:t>
    </w:r>
    <w:r w:rsidR="009F0658" w:rsidRPr="00D23445">
      <w:fldChar w:fldCharType="begin"/>
    </w:r>
    <w:r w:rsidR="009F0658" w:rsidRPr="00D23445">
      <w:instrText xml:space="preserve"> PAGE </w:instrText>
    </w:r>
    <w:r w:rsidR="009F0658" w:rsidRPr="00D23445">
      <w:fldChar w:fldCharType="separate"/>
    </w:r>
    <w:r w:rsidR="0009385D">
      <w:rPr>
        <w:noProof/>
      </w:rPr>
      <w:t>2</w:t>
    </w:r>
    <w:r w:rsidR="009F0658" w:rsidRPr="00D2344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2A" w:rsidRDefault="004A232A" w:rsidP="006666A6">
      <w:pPr>
        <w:pStyle w:val="Fuzeile"/>
      </w:pPr>
      <w:r>
        <w:separator/>
      </w:r>
    </w:p>
  </w:footnote>
  <w:footnote w:type="continuationSeparator" w:id="0">
    <w:p w:rsidR="004A232A" w:rsidRDefault="004A232A"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sz w:val="20"/>
        <w:lang w:eastAsia="de-CH"/>
      </w:rPr>
      <w:drawing>
        <wp:anchor distT="0" distB="0" distL="114300" distR="114300" simplePos="0" relativeHeight="251653120" behindDoc="0" locked="0" layoutInCell="1" allowOverlap="1" wp14:anchorId="2ECE1C2E" wp14:editId="341BD592">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lang w:eastAsia="de-CH"/>
      </w:rPr>
      <mc:AlternateContent>
        <mc:Choice Requires="wps">
          <w:drawing>
            <wp:anchor distT="0" distB="0" distL="114300" distR="114300" simplePos="0" relativeHeight="251661312" behindDoc="0" locked="0" layoutInCell="1" allowOverlap="1" wp14:anchorId="7CB63F93" wp14:editId="76B1F77D">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B5A9"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eastAsia="de-CH"/>
      </w:rPr>
      <mc:AlternateContent>
        <mc:Choice Requires="wps">
          <w:drawing>
            <wp:anchor distT="0" distB="0" distL="114300" distR="114300" simplePos="0" relativeHeight="251662336" behindDoc="0" locked="1" layoutInCell="1" allowOverlap="1" wp14:anchorId="247077D0" wp14:editId="09B134B7">
              <wp:simplePos x="0" y="0"/>
              <wp:positionH relativeFrom="page">
                <wp:posOffset>621030</wp:posOffset>
              </wp:positionH>
              <wp:positionV relativeFrom="page">
                <wp:posOffset>275590</wp:posOffset>
              </wp:positionV>
              <wp:extent cx="752475" cy="7323455"/>
              <wp:effectExtent l="0" t="0" r="9525" b="1079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732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792E1A"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 xml:space="preserve">Communiqué </w:t>
                          </w:r>
                          <w:r w:rsidR="009A14AD">
                            <w:rPr>
                              <w:rFonts w:ascii="Arial" w:hAnsi="Arial" w:cs="Arial"/>
                              <w:caps/>
                              <w:color w:val="FFFFFF"/>
                              <w:spacing w:val="76"/>
                              <w:sz w:val="72"/>
                              <w:szCs w:val="72"/>
                            </w:rPr>
                            <w:t xml:space="preserve">aux </w:t>
                          </w:r>
                          <w:r>
                            <w:rPr>
                              <w:rFonts w:ascii="Arial" w:hAnsi="Arial" w:cs="Arial"/>
                              <w:caps/>
                              <w:color w:val="FFFFFF"/>
                              <w:spacing w:val="76"/>
                              <w:sz w:val="72"/>
                              <w:szCs w:val="72"/>
                            </w:rPr>
                            <w:t>Média</w:t>
                          </w:r>
                          <w:r w:rsidR="009A14AD">
                            <w:rPr>
                              <w:rFonts w:ascii="Arial" w:hAnsi="Arial" w:cs="Arial"/>
                              <w:caps/>
                              <w:color w:val="FFFFFF"/>
                              <w:spacing w:val="76"/>
                              <w:sz w:val="72"/>
                              <w:szCs w:val="72"/>
                            </w:rPr>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77D0" id="_x0000_t202" coordsize="21600,21600" o:spt="202" path="m,l,21600r21600,l21600,xe">
              <v:stroke joinstyle="miter"/>
              <v:path gradientshapeok="t" o:connecttype="rect"/>
            </v:shapetype>
            <v:shape id="Text Box 18" o:spid="_x0000_s1027" type="#_x0000_t202" style="position:absolute;margin-left:48.9pt;margin-top:21.7pt;width:59.25pt;height:576.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jFsQIAALQFAAAOAAAAZHJzL2Uyb0RvYy54bWysVG1vmzAQ/j5p/8Hyd8pLIAFUMrUhTJO6&#10;F6ndD3DABGtgM9sJVNP++84mpGmrSdM2PliHfX7unrvHd/1u7Fp0pFIxwTPsX3kYUV6KivF9hr8+&#10;FE6MkdKEV6QVnGb4kSr8bv32zfXQpzQQjWgrKhGAcJUOfYYbrfvUdVXZ0I6oK9FTDoe1kB3R8Cv3&#10;biXJAOhd6waet3QHIateipIqBbv5dIjXFr+uaak/17WiGrUZhty0XaVdd2Z119ck3UvSN6w8pUH+&#10;IouOMA5Bz1A50QQdJHsF1bFSCiVqfVWKzhV1zUpqOQAb33vB5r4hPbVcoDiqP5dJ/T/Y8tPxi0Ss&#10;yvACI046aNEDHTW6FSPyY1OeoVcpeN334KdH2Ic2W6qqvxPlN4W42DSE7+mNlGJoKKkgPd/cdC+u&#10;TjjKgOyGj6KCOOSghQUaa9mZ2kE1EKBDmx7PrTG5lLC5ioJwFWFUwtFqESzCKLIhSDrf7qXS76no&#10;kDEyLKH1Fp0c75Q22ZB0djHBuChY29r2t/zZBjhOOxAbrpozk4Xt5o/ES7bxNg6dMFhundDLc+em&#10;2ITOsvBXUb7IN5vc/2ni+mHasKqi3ISZleWHf9a5k8YnTZy1pUTLKgNnUlJyv9u0Eh0JKLuw36kg&#10;F27u8zRsEYDLC0p+EHq3QeIUy3jlhEUYOcnKix3PT26TpRcmYV48p3THOP13SmjIcBIF0SSm33Lz&#10;7PeaG0k7pmF2tKzLcHx2IqmR4JZXtrWasHayL0ph0n8qBbR7brQVrNHopFY97kb7NKyajZh3onoE&#10;BUsBAgOZwtwDw6zBCn4HGCMZVt8PRFKM2g8cHoKZObMhZ2M3G4SXjYBppDGazI2eZtOhl2zfAPj0&#10;1Li4gcdSM6vjp0ROTwxGg6VzGmNm9lz+W6+nYbv+BQAA//8DAFBLAwQUAAYACAAAACEAiUFwdN4A&#10;AAAKAQAADwAAAGRycy9kb3ducmV2LnhtbEyPzU7DMBCE70i8g7VI3KiTprg0xKlQpIpbJUofwI2X&#10;OKp/Quw26duznOA4mtHMN9V2dpZdcYx98BLyRQYMfRt07zsJx8/d0wuwmJTXygaPEm4YYVvf31Wq&#10;1GHyH3g9pI5RiY+lkmBSGkrOY2vQqbgIA3ryvsLoVCI5dlyPaqJyZ/kyywR3qve0YNSAjcH2fLg4&#10;CfsbN1Phno9t04i9KL536vxupXx8mN9egSWc018YfvEJHWpiOoWL15FZCZs1kScJq2IFjPxlLgpg&#10;JwrmG7EGXlf8/4X6BwAA//8DAFBLAQItABQABgAIAAAAIQC2gziS/gAAAOEBAAATAAAAAAAAAAAA&#10;AAAAAAAAAABbQ29udGVudF9UeXBlc10ueG1sUEsBAi0AFAAGAAgAAAAhADj9If/WAAAAlAEAAAsA&#10;AAAAAAAAAAAAAAAALwEAAF9yZWxzLy5yZWxzUEsBAi0AFAAGAAgAAAAhAAc/2MWxAgAAtAUAAA4A&#10;AAAAAAAAAAAAAAAALgIAAGRycy9lMm9Eb2MueG1sUEsBAi0AFAAGAAgAAAAhAIlBcHTeAAAACgEA&#10;AA8AAAAAAAAAAAAAAAAACwUAAGRycy9kb3ducmV2LnhtbFBLBQYAAAAABAAEAPMAAAAWBgAAAAA=&#10;" filled="f" stroked="f">
              <v:textbox style="layout-flow:vertical;mso-layout-flow-alt:bottom-to-top" inset="0,0,0,0">
                <w:txbxContent>
                  <w:p w:rsidR="0037248D" w:rsidRPr="0069333D" w:rsidRDefault="00792E1A"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 xml:space="preserve">Communiqué </w:t>
                    </w:r>
                    <w:r w:rsidR="009A14AD">
                      <w:rPr>
                        <w:rFonts w:ascii="Arial" w:hAnsi="Arial" w:cs="Arial"/>
                        <w:caps/>
                        <w:color w:val="FFFFFF"/>
                        <w:spacing w:val="76"/>
                        <w:sz w:val="72"/>
                        <w:szCs w:val="72"/>
                      </w:rPr>
                      <w:t xml:space="preserve">aux </w:t>
                    </w:r>
                    <w:r>
                      <w:rPr>
                        <w:rFonts w:ascii="Arial" w:hAnsi="Arial" w:cs="Arial"/>
                        <w:caps/>
                        <w:color w:val="FFFFFF"/>
                        <w:spacing w:val="76"/>
                        <w:sz w:val="72"/>
                        <w:szCs w:val="72"/>
                      </w:rPr>
                      <w:t>Média</w:t>
                    </w:r>
                    <w:r w:rsidR="009A14AD">
                      <w:rPr>
                        <w:rFonts w:ascii="Arial" w:hAnsi="Arial" w:cs="Arial"/>
                        <w:caps/>
                        <w:color w:val="FFFFFF"/>
                        <w:spacing w:val="76"/>
                        <w:sz w:val="72"/>
                        <w:szCs w:val="72"/>
                      </w:rPr>
                      <w:t>s</w:t>
                    </w:r>
                  </w:p>
                </w:txbxContent>
              </v:textbox>
              <w10:wrap anchorx="page" anchory="page"/>
              <w10:anchorlock/>
            </v:shape>
          </w:pict>
        </mc:Fallback>
      </mc:AlternateContent>
    </w:r>
    <w:r>
      <w:rPr>
        <w:noProof/>
        <w:lang w:eastAsia="de-CH"/>
      </w:rPr>
      <w:drawing>
        <wp:anchor distT="0" distB="0" distL="114300" distR="114300" simplePos="0" relativeHeight="251656192" behindDoc="1" locked="0" layoutInCell="1" allowOverlap="1" wp14:anchorId="6E401543" wp14:editId="2B7CA1CE">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lang w:eastAsia="de-CH"/>
      </w:rPr>
      <w:drawing>
        <wp:anchor distT="0" distB="0" distL="114300" distR="114300" simplePos="0" relativeHeight="251660288" behindDoc="1" locked="0" layoutInCell="1" allowOverlap="1" wp14:anchorId="49B914F5" wp14:editId="5C65EA0C">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pPr>
      <w:jc w:val="center"/>
      <w:rPr>
        <w:rFonts w:ascii="FormataBQ-Cond" w:hAnsi="FormataBQ-Cond"/>
        <w:sz w:val="22"/>
        <w:szCs w:val="22"/>
      </w:rPr>
    </w:pPr>
    <w:r>
      <w:rPr>
        <w:rFonts w:ascii="FormataBQ-Cond" w:hAnsi="FormataBQ-Cond"/>
        <w:noProof/>
        <w:sz w:val="22"/>
        <w:szCs w:val="22"/>
        <w:lang w:eastAsia="de-CH"/>
      </w:rPr>
      <w:drawing>
        <wp:anchor distT="0" distB="0" distL="114300" distR="114300" simplePos="0" relativeHeight="251655168" behindDoc="0" locked="0" layoutInCell="1" allowOverlap="1" wp14:anchorId="4CD0AF8A" wp14:editId="7CEB3186">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4D79"/>
    <w:multiLevelType w:val="hybridMultilevel"/>
    <w:tmpl w:val="8A2AFF18"/>
    <w:lvl w:ilvl="0" w:tplc="FED86E82">
      <w:start w:val="1"/>
      <w:numFmt w:val="bullet"/>
      <w:lvlText w:val=""/>
      <w:lvlJc w:val="left"/>
      <w:pPr>
        <w:ind w:left="720" w:hanging="360"/>
      </w:pPr>
      <w:rPr>
        <w:rFonts w:ascii="Symbol" w:hAnsi="Symbo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4414128"/>
    <w:multiLevelType w:val="multilevel"/>
    <w:tmpl w:val="83782D42"/>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154CC"/>
    <w:rsid w:val="000167D7"/>
    <w:rsid w:val="00064CFB"/>
    <w:rsid w:val="000663CA"/>
    <w:rsid w:val="000718B6"/>
    <w:rsid w:val="00081A95"/>
    <w:rsid w:val="0009385D"/>
    <w:rsid w:val="000C1924"/>
    <w:rsid w:val="000E7076"/>
    <w:rsid w:val="00112739"/>
    <w:rsid w:val="0012464E"/>
    <w:rsid w:val="001336F8"/>
    <w:rsid w:val="00152712"/>
    <w:rsid w:val="00156885"/>
    <w:rsid w:val="00185063"/>
    <w:rsid w:val="001A55EB"/>
    <w:rsid w:val="001A5F84"/>
    <w:rsid w:val="001A64B9"/>
    <w:rsid w:val="001B41A1"/>
    <w:rsid w:val="001B6565"/>
    <w:rsid w:val="001F1771"/>
    <w:rsid w:val="00202A8E"/>
    <w:rsid w:val="00203DE3"/>
    <w:rsid w:val="0021767E"/>
    <w:rsid w:val="00223D4A"/>
    <w:rsid w:val="00240469"/>
    <w:rsid w:val="00274AA6"/>
    <w:rsid w:val="002765DE"/>
    <w:rsid w:val="002C2FA9"/>
    <w:rsid w:val="002D15ED"/>
    <w:rsid w:val="003052EE"/>
    <w:rsid w:val="003054C9"/>
    <w:rsid w:val="00323DCE"/>
    <w:rsid w:val="0032537E"/>
    <w:rsid w:val="003262F6"/>
    <w:rsid w:val="003419CA"/>
    <w:rsid w:val="00342AAA"/>
    <w:rsid w:val="00347006"/>
    <w:rsid w:val="0037248D"/>
    <w:rsid w:val="00374143"/>
    <w:rsid w:val="0037739A"/>
    <w:rsid w:val="003775C5"/>
    <w:rsid w:val="00387030"/>
    <w:rsid w:val="00391EE2"/>
    <w:rsid w:val="003B588E"/>
    <w:rsid w:val="003D1605"/>
    <w:rsid w:val="003F1233"/>
    <w:rsid w:val="00400ABB"/>
    <w:rsid w:val="00412D73"/>
    <w:rsid w:val="0041438C"/>
    <w:rsid w:val="004149C3"/>
    <w:rsid w:val="00424148"/>
    <w:rsid w:val="00432DB7"/>
    <w:rsid w:val="00441114"/>
    <w:rsid w:val="00445955"/>
    <w:rsid w:val="00460835"/>
    <w:rsid w:val="00465681"/>
    <w:rsid w:val="004A0D3F"/>
    <w:rsid w:val="004A232A"/>
    <w:rsid w:val="004A367F"/>
    <w:rsid w:val="004B1DAA"/>
    <w:rsid w:val="004D3634"/>
    <w:rsid w:val="004D6F33"/>
    <w:rsid w:val="004F3831"/>
    <w:rsid w:val="00511200"/>
    <w:rsid w:val="00527B26"/>
    <w:rsid w:val="00552D81"/>
    <w:rsid w:val="00557AD9"/>
    <w:rsid w:val="00572967"/>
    <w:rsid w:val="00575409"/>
    <w:rsid w:val="005760FB"/>
    <w:rsid w:val="00581CC9"/>
    <w:rsid w:val="00582053"/>
    <w:rsid w:val="00585DD0"/>
    <w:rsid w:val="00592BC7"/>
    <w:rsid w:val="005C1836"/>
    <w:rsid w:val="005C58EB"/>
    <w:rsid w:val="005F00AE"/>
    <w:rsid w:val="005F0EA7"/>
    <w:rsid w:val="005F166E"/>
    <w:rsid w:val="00606EBF"/>
    <w:rsid w:val="00614350"/>
    <w:rsid w:val="00622B40"/>
    <w:rsid w:val="006400EA"/>
    <w:rsid w:val="006666A6"/>
    <w:rsid w:val="00673338"/>
    <w:rsid w:val="00680859"/>
    <w:rsid w:val="00683502"/>
    <w:rsid w:val="00687E8C"/>
    <w:rsid w:val="00691463"/>
    <w:rsid w:val="0069333D"/>
    <w:rsid w:val="006A7B1D"/>
    <w:rsid w:val="006C2500"/>
    <w:rsid w:val="00721DCF"/>
    <w:rsid w:val="00725D09"/>
    <w:rsid w:val="00737E77"/>
    <w:rsid w:val="0077182D"/>
    <w:rsid w:val="00773A86"/>
    <w:rsid w:val="00790F0D"/>
    <w:rsid w:val="00792E1A"/>
    <w:rsid w:val="00797742"/>
    <w:rsid w:val="007E312A"/>
    <w:rsid w:val="007E6ED5"/>
    <w:rsid w:val="007F1D8E"/>
    <w:rsid w:val="007F5B3F"/>
    <w:rsid w:val="00801A46"/>
    <w:rsid w:val="0080741E"/>
    <w:rsid w:val="00824B22"/>
    <w:rsid w:val="008548FF"/>
    <w:rsid w:val="008643BC"/>
    <w:rsid w:val="008670EB"/>
    <w:rsid w:val="0087170A"/>
    <w:rsid w:val="00881732"/>
    <w:rsid w:val="008B4918"/>
    <w:rsid w:val="008C04B0"/>
    <w:rsid w:val="008D67BF"/>
    <w:rsid w:val="008F02F0"/>
    <w:rsid w:val="008F4479"/>
    <w:rsid w:val="0093171C"/>
    <w:rsid w:val="0095095A"/>
    <w:rsid w:val="00961956"/>
    <w:rsid w:val="00992AC2"/>
    <w:rsid w:val="009A14AD"/>
    <w:rsid w:val="009A5252"/>
    <w:rsid w:val="009E0E76"/>
    <w:rsid w:val="009F0658"/>
    <w:rsid w:val="00A0455D"/>
    <w:rsid w:val="00A10188"/>
    <w:rsid w:val="00A26546"/>
    <w:rsid w:val="00A36172"/>
    <w:rsid w:val="00A54C1D"/>
    <w:rsid w:val="00A566A6"/>
    <w:rsid w:val="00A62CF1"/>
    <w:rsid w:val="00A64E72"/>
    <w:rsid w:val="00AC6610"/>
    <w:rsid w:val="00AD0BDF"/>
    <w:rsid w:val="00AD13C8"/>
    <w:rsid w:val="00AD1952"/>
    <w:rsid w:val="00AD6580"/>
    <w:rsid w:val="00AD7471"/>
    <w:rsid w:val="00AF6D01"/>
    <w:rsid w:val="00B27B6B"/>
    <w:rsid w:val="00B61A2A"/>
    <w:rsid w:val="00B83167"/>
    <w:rsid w:val="00BC4DAC"/>
    <w:rsid w:val="00BC6335"/>
    <w:rsid w:val="00BC69B1"/>
    <w:rsid w:val="00BE1CAB"/>
    <w:rsid w:val="00BF3360"/>
    <w:rsid w:val="00C31782"/>
    <w:rsid w:val="00C31C41"/>
    <w:rsid w:val="00C31FA2"/>
    <w:rsid w:val="00C35894"/>
    <w:rsid w:val="00C36DF4"/>
    <w:rsid w:val="00C42E6A"/>
    <w:rsid w:val="00C4329B"/>
    <w:rsid w:val="00C512A1"/>
    <w:rsid w:val="00C63079"/>
    <w:rsid w:val="00C63321"/>
    <w:rsid w:val="00C70471"/>
    <w:rsid w:val="00C76153"/>
    <w:rsid w:val="00C96233"/>
    <w:rsid w:val="00C96DD7"/>
    <w:rsid w:val="00CA08E9"/>
    <w:rsid w:val="00CA0E00"/>
    <w:rsid w:val="00CB717A"/>
    <w:rsid w:val="00CD6840"/>
    <w:rsid w:val="00D1233F"/>
    <w:rsid w:val="00D23445"/>
    <w:rsid w:val="00D33EB5"/>
    <w:rsid w:val="00D340A5"/>
    <w:rsid w:val="00D35ED3"/>
    <w:rsid w:val="00D40ADC"/>
    <w:rsid w:val="00D930F7"/>
    <w:rsid w:val="00DA1F0E"/>
    <w:rsid w:val="00DE0AAF"/>
    <w:rsid w:val="00E00FE8"/>
    <w:rsid w:val="00E07B9A"/>
    <w:rsid w:val="00E25380"/>
    <w:rsid w:val="00E322D4"/>
    <w:rsid w:val="00E350AE"/>
    <w:rsid w:val="00E56912"/>
    <w:rsid w:val="00E710F6"/>
    <w:rsid w:val="00E73748"/>
    <w:rsid w:val="00E81BCA"/>
    <w:rsid w:val="00EA3A8C"/>
    <w:rsid w:val="00EA3B2A"/>
    <w:rsid w:val="00EB5766"/>
    <w:rsid w:val="00EB7029"/>
    <w:rsid w:val="00EC3ABE"/>
    <w:rsid w:val="00ED109B"/>
    <w:rsid w:val="00ED42D2"/>
    <w:rsid w:val="00EF14AC"/>
    <w:rsid w:val="00F122F0"/>
    <w:rsid w:val="00F22C59"/>
    <w:rsid w:val="00F27874"/>
    <w:rsid w:val="00F27CB3"/>
    <w:rsid w:val="00F72D7B"/>
    <w:rsid w:val="00F771A8"/>
    <w:rsid w:val="00F81D39"/>
    <w:rsid w:val="00F830DB"/>
    <w:rsid w:val="00F9529A"/>
    <w:rsid w:val="00F9729D"/>
    <w:rsid w:val="00FB16D8"/>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5:docId w15:val="{FB4B28CF-DEE5-4B92-9AB9-713E5AE1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D340A5"/>
    <w:pPr>
      <w:numPr>
        <w:numId w:val="11"/>
      </w:numPr>
    </w:pPr>
    <w:rPr>
      <w:rFonts w:cs="AdvOT8608a8d1+01"/>
      <w:lang w:val="en-GB" w:eastAsia="de-CH"/>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styleId="Listenabsatz">
    <w:name w:val="List Paragraph"/>
    <w:basedOn w:val="Standard"/>
    <w:uiPriority w:val="34"/>
    <w:qFormat/>
    <w:rsid w:val="00C35894"/>
    <w:pPr>
      <w:spacing w:after="200" w:line="276" w:lineRule="auto"/>
      <w:ind w:left="720"/>
      <w:contextualSpacing/>
    </w:pPr>
    <w:rPr>
      <w:rFonts w:asciiTheme="minorHAnsi" w:eastAsiaTheme="minorEastAsia" w:hAnsiTheme="minorHAnsi" w:cstheme="minorBidi"/>
      <w:color w:val="auto"/>
      <w:sz w:val="22"/>
      <w:szCs w:val="22"/>
      <w:lang w:val="en-GB" w:eastAsia="zh-CN"/>
    </w:rPr>
  </w:style>
  <w:style w:type="character" w:styleId="Kommentarzeichen">
    <w:name w:val="annotation reference"/>
    <w:basedOn w:val="Absatz-Standardschriftart"/>
    <w:rsid w:val="00C70471"/>
    <w:rPr>
      <w:sz w:val="16"/>
      <w:szCs w:val="16"/>
    </w:rPr>
  </w:style>
  <w:style w:type="paragraph" w:styleId="Kommentartext">
    <w:name w:val="annotation text"/>
    <w:basedOn w:val="Standard"/>
    <w:link w:val="KommentartextZchn"/>
    <w:rsid w:val="00C70471"/>
    <w:pPr>
      <w:spacing w:line="240" w:lineRule="auto"/>
    </w:pPr>
    <w:rPr>
      <w:sz w:val="20"/>
    </w:rPr>
  </w:style>
  <w:style w:type="character" w:customStyle="1" w:styleId="KommentartextZchn">
    <w:name w:val="Kommentartext Zchn"/>
    <w:basedOn w:val="Absatz-Standardschriftart"/>
    <w:link w:val="Kommentartext"/>
    <w:rsid w:val="00C70471"/>
    <w:rPr>
      <w:rFonts w:ascii="Formata Regular" w:hAnsi="Formata Regular"/>
      <w:color w:val="000000"/>
      <w:lang w:eastAsia="de-DE"/>
    </w:rPr>
  </w:style>
  <w:style w:type="paragraph" w:styleId="Kommentarthema">
    <w:name w:val="annotation subject"/>
    <w:basedOn w:val="Kommentartext"/>
    <w:next w:val="Kommentartext"/>
    <w:link w:val="KommentarthemaZchn"/>
    <w:rsid w:val="00C70471"/>
    <w:rPr>
      <w:b/>
      <w:bCs/>
    </w:rPr>
  </w:style>
  <w:style w:type="character" w:customStyle="1" w:styleId="KommentarthemaZchn">
    <w:name w:val="Kommentarthema Zchn"/>
    <w:basedOn w:val="KommentartextZchn"/>
    <w:link w:val="Kommentarthema"/>
    <w:rsid w:val="00C70471"/>
    <w:rPr>
      <w:rFonts w:ascii="Formata Regular" w:hAnsi="Formata Regular"/>
      <w:b/>
      <w:bCs/>
      <w:color w:val="000000"/>
      <w:lang w:eastAsia="de-DE"/>
    </w:rPr>
  </w:style>
  <w:style w:type="paragraph" w:styleId="berarbeitung">
    <w:name w:val="Revision"/>
    <w:hidden/>
    <w:uiPriority w:val="99"/>
    <w:semiHidden/>
    <w:rsid w:val="005C1836"/>
    <w:rPr>
      <w:rFonts w:ascii="Formata Regular" w:hAnsi="Formata Regular"/>
      <w:color w:val="000000"/>
      <w:sz w:val="24"/>
      <w:lang w:eastAsia="de-DE"/>
    </w:rPr>
  </w:style>
  <w:style w:type="character" w:styleId="BesuchterHyperlink">
    <w:name w:val="FollowedHyperlink"/>
    <w:basedOn w:val="Absatz-Standardschriftart"/>
    <w:semiHidden/>
    <w:unhideWhenUsed/>
    <w:rsid w:val="00EF1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research.ncl.ac.uk/nefg/QOF/meat/page.php?LAN=F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research.ncl.ac.uk/nefg/QOF/dairy/page.php?LAN=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search.ncl.ac.uk/nefg/QOF/page.php?page=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ranziska.haemmerli@fibl.org"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fibl.org/fr/media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omas.alfoeldi@fibl.org"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2.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0ECB-6144-469C-96A8-CF592334C302}">
  <ds:schemaRefs>
    <ds:schemaRef ds:uri="http://schemas.microsoft.com/office/2006/documentManagement/types"/>
    <ds:schemaRef ds:uri="http://purl.org/dc/elements/1.1/"/>
    <ds:schemaRef ds:uri="http://schemas.openxmlformats.org/package/2006/metadata/core-properties"/>
    <ds:schemaRef ds:uri="9bda9346-f9d5-44ba-b0bd-099e10c918fb"/>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E5030-010D-459B-BE60-A3794AB72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5266</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karin.nowack</dc:creator>
  <cp:lastModifiedBy>Basler Andreas</cp:lastModifiedBy>
  <cp:revision>105</cp:revision>
  <cp:lastPrinted>2016-02-18T15:42:00Z</cp:lastPrinted>
  <dcterms:created xsi:type="dcterms:W3CDTF">2016-02-16T10:40:00Z</dcterms:created>
  <dcterms:modified xsi:type="dcterms:W3CDTF">2016-02-18T15:42:00Z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