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14276" w14:textId="1CA24D04" w:rsidR="004762FE" w:rsidRPr="00674C58" w:rsidRDefault="008A73BC" w:rsidP="00453BD9">
      <w:pPr>
        <w:pStyle w:val="FiBLmrsubheader"/>
        <w:sectPr w:rsidR="004762FE" w:rsidRPr="00674C58" w:rsidSect="00232993">
          <w:headerReference w:type="default" r:id="rId11"/>
          <w:footerReference w:type="default" r:id="rId12"/>
          <w:type w:val="continuous"/>
          <w:pgSz w:w="11906" w:h="16838"/>
          <w:pgMar w:top="2268" w:right="1701" w:bottom="1701" w:left="1701" w:header="1134" w:footer="567" w:gutter="0"/>
          <w:cols w:space="708"/>
          <w:docGrid w:linePitch="360"/>
        </w:sectPr>
      </w:pPr>
      <w:r w:rsidRPr="00674C58">
        <w:t>Media release</w:t>
      </w:r>
      <w:r w:rsidR="003A4EAF" w:rsidRPr="00674C58">
        <w:t xml:space="preserve"> </w:t>
      </w:r>
    </w:p>
    <w:p w14:paraId="5AB600B7" w14:textId="29E229A5" w:rsidR="0013446E" w:rsidRPr="00674C58" w:rsidRDefault="0013446E" w:rsidP="00F30F51">
      <w:pPr>
        <w:pStyle w:val="FiBLmrtitle"/>
      </w:pPr>
      <w:r w:rsidRPr="00674C58">
        <w:t>In 2022,</w:t>
      </w:r>
      <w:r w:rsidR="0058216C" w:rsidRPr="00674C58">
        <w:t xml:space="preserve"> </w:t>
      </w:r>
      <w:r w:rsidR="001E6548" w:rsidRPr="00674C58">
        <w:t xml:space="preserve">more than </w:t>
      </w:r>
      <w:r w:rsidRPr="00674C58">
        <w:t>10</w:t>
      </w:r>
      <w:r w:rsidR="00FC5299" w:rsidRPr="00674C58">
        <w:t xml:space="preserve"> percent</w:t>
      </w:r>
      <w:r w:rsidRPr="00674C58">
        <w:t xml:space="preserve"> of the </w:t>
      </w:r>
      <w:r w:rsidR="001E6548" w:rsidRPr="00674C58">
        <w:t>European Union</w:t>
      </w:r>
      <w:r w:rsidR="004960DD" w:rsidRPr="00674C58">
        <w:t>’</w:t>
      </w:r>
      <w:r w:rsidR="001E6548" w:rsidRPr="00674C58">
        <w:t xml:space="preserve">s </w:t>
      </w:r>
      <w:r w:rsidR="009B6217" w:rsidRPr="00674C58">
        <w:t>f</w:t>
      </w:r>
      <w:r w:rsidRPr="00674C58">
        <w:t xml:space="preserve">armland was </w:t>
      </w:r>
      <w:r w:rsidR="009B6217" w:rsidRPr="00674C58">
        <w:t>o</w:t>
      </w:r>
      <w:r w:rsidRPr="00674C58">
        <w:t>rganic</w:t>
      </w:r>
    </w:p>
    <w:p w14:paraId="00607094" w14:textId="0A56BDD1" w:rsidR="0013446E" w:rsidRPr="00674C58" w:rsidRDefault="0013446E" w:rsidP="00F30F51">
      <w:pPr>
        <w:pStyle w:val="FiBLmrlead"/>
      </w:pPr>
      <w:r w:rsidRPr="00674C58">
        <w:t xml:space="preserve">Increasing by 5.1 percent, the European Union's organic area continued to grow steadily in 2022, reaching 16.9 million hectares, which accounts for 10.4 percent of the total farmland. </w:t>
      </w:r>
      <w:r w:rsidR="001143D5" w:rsidRPr="00674C58">
        <w:t>Retail sales</w:t>
      </w:r>
      <w:r w:rsidRPr="00674C58">
        <w:t xml:space="preserve">, however, experienced a </w:t>
      </w:r>
      <w:r w:rsidR="003A4EAF" w:rsidRPr="00674C58">
        <w:t xml:space="preserve">modest decline. The latest data </w:t>
      </w:r>
      <w:r w:rsidRPr="00674C58">
        <w:t>on organic agriculture in Europe, published in the yearbook '</w:t>
      </w:r>
      <w:bookmarkStart w:id="4" w:name="_Hlk157776702"/>
      <w:r w:rsidRPr="00674C58">
        <w:t>The World of Organic Agriculture</w:t>
      </w:r>
      <w:bookmarkEnd w:id="4"/>
      <w:r w:rsidRPr="00674C58">
        <w:t>'</w:t>
      </w:r>
      <w:r w:rsidR="00CF0B7E">
        <w:t>,</w:t>
      </w:r>
      <w:bookmarkStart w:id="5" w:name="_GoBack"/>
      <w:bookmarkEnd w:id="5"/>
      <w:r w:rsidRPr="00674C58">
        <w:t xml:space="preserve"> will be presented at BIOFA</w:t>
      </w:r>
      <w:r w:rsidR="003A4EAF" w:rsidRPr="00674C58">
        <w:t>CH</w:t>
      </w:r>
      <w:r w:rsidR="00CC59C2" w:rsidRPr="00674C58">
        <w:t xml:space="preserve">, the world's leading trade fair for organic food, </w:t>
      </w:r>
      <w:r w:rsidR="003A4EAF" w:rsidRPr="00674C58">
        <w:t>on Tuesday, February 13, 2024</w:t>
      </w:r>
      <w:r w:rsidRPr="00674C58">
        <w:t>,</w:t>
      </w:r>
      <w:r w:rsidR="003A4EAF" w:rsidRPr="00674C58">
        <w:t xml:space="preserve"> from 5 to 6 pm (</w:t>
      </w:r>
      <w:r w:rsidRPr="00674C58">
        <w:t>CET).</w:t>
      </w:r>
    </w:p>
    <w:p w14:paraId="3AD1B995" w14:textId="2C5EC227" w:rsidR="0013446E" w:rsidRPr="00674C58" w:rsidRDefault="00971FFD" w:rsidP="00F30F51">
      <w:pPr>
        <w:pStyle w:val="FiBLmrstandard"/>
        <w:rPr>
          <w:b/>
        </w:rPr>
      </w:pPr>
      <w:r w:rsidRPr="00674C58">
        <w:t xml:space="preserve">(Frick, February 13, 2024) </w:t>
      </w:r>
      <w:r w:rsidR="0013446E" w:rsidRPr="00674C58">
        <w:t>In 2022, 18.5 million hectares of farmland in Europe were organic (16.9 million hectares in the European Union</w:t>
      </w:r>
      <w:r w:rsidR="003A4EAF" w:rsidRPr="00674C58">
        <w:t xml:space="preserve"> (EU</w:t>
      </w:r>
      <w:r w:rsidR="0013446E" w:rsidRPr="00674C58">
        <w:t>). France continued to lead as the number one country in terms of farmland under organic management with 2.9 million hectares, followed by Spain (2.7 million hectares), Italy (2.3 million hectares), and Germany (1.9 million hectares).</w:t>
      </w:r>
    </w:p>
    <w:p w14:paraId="44567038" w14:textId="352E949F" w:rsidR="0010418E" w:rsidRPr="00674C58" w:rsidRDefault="00500E33" w:rsidP="003A4EAF">
      <w:pPr>
        <w:pStyle w:val="FiBLmrsubheader"/>
      </w:pPr>
      <w:r w:rsidRPr="00674C58">
        <w:t>Organic farmland increase</w:t>
      </w:r>
      <w:r w:rsidR="00EE766C" w:rsidRPr="00674C58">
        <w:t>d</w:t>
      </w:r>
      <w:r w:rsidR="0010418E" w:rsidRPr="00674C58">
        <w:t xml:space="preserve"> by </w:t>
      </w:r>
      <w:r w:rsidR="00BE678B" w:rsidRPr="00674C58">
        <w:t>more than</w:t>
      </w:r>
      <w:r w:rsidR="00CC0160" w:rsidRPr="00674C58">
        <w:t xml:space="preserve"> </w:t>
      </w:r>
      <w:r w:rsidR="007B60A5" w:rsidRPr="00674C58">
        <w:t>0.</w:t>
      </w:r>
      <w:r w:rsidR="00CC0160" w:rsidRPr="00674C58">
        <w:t>8</w:t>
      </w:r>
      <w:r w:rsidR="0010418E" w:rsidRPr="00674C58">
        <w:t xml:space="preserve"> million hectare</w:t>
      </w:r>
      <w:r w:rsidR="00AE7B5A" w:rsidRPr="00674C58">
        <w:t>s</w:t>
      </w:r>
      <w:r w:rsidR="0013446E" w:rsidRPr="00674C58">
        <w:t xml:space="preserve"> in the </w:t>
      </w:r>
      <w:r w:rsidR="003A4EAF" w:rsidRPr="00674C58">
        <w:t>EU</w:t>
      </w:r>
    </w:p>
    <w:p w14:paraId="276B7F63" w14:textId="6A3830F4" w:rsidR="0013446E" w:rsidRPr="00674C58" w:rsidRDefault="0013446E" w:rsidP="00156C51">
      <w:pPr>
        <w:pStyle w:val="FiBLmrstandard"/>
        <w:rPr>
          <w:b/>
        </w:rPr>
      </w:pPr>
      <w:r w:rsidRPr="00674C58">
        <w:t>Organic farmland increased by more than 0.8 million hectares, representing a</w:t>
      </w:r>
      <w:r w:rsidR="00AA7B7A" w:rsidRPr="00674C58">
        <w:t> </w:t>
      </w:r>
      <w:r w:rsidRPr="00674C58">
        <w:t>5.1</w:t>
      </w:r>
      <w:r w:rsidR="00AA7B7A" w:rsidRPr="00674C58">
        <w:t> </w:t>
      </w:r>
      <w:r w:rsidRPr="00674C58">
        <w:t>p</w:t>
      </w:r>
      <w:r w:rsidR="003A4EAF" w:rsidRPr="00674C58">
        <w:t xml:space="preserve">ercent increase in the EU </w:t>
      </w:r>
      <w:r w:rsidRPr="00674C58">
        <w:t>and a 1.0 percent increase in Europe. In comparison to</w:t>
      </w:r>
      <w:r w:rsidR="00AA7B7A" w:rsidRPr="00674C58">
        <w:t> </w:t>
      </w:r>
      <w:r w:rsidRPr="00674C58">
        <w:t xml:space="preserve">2021, Greece and Italy reported </w:t>
      </w:r>
      <w:r w:rsidR="003A4EAF" w:rsidRPr="00674C58">
        <w:t>the largest increases, with 0.4 million hectares and 0.2</w:t>
      </w:r>
      <w:r w:rsidR="00AA7B7A" w:rsidRPr="00674C58">
        <w:t> </w:t>
      </w:r>
      <w:r w:rsidRPr="00674C58">
        <w:t>million hectares, respectively.</w:t>
      </w:r>
    </w:p>
    <w:p w14:paraId="1F3D2D64" w14:textId="28904067" w:rsidR="0010418E" w:rsidRPr="00674C58" w:rsidRDefault="0010418E" w:rsidP="007B1234">
      <w:pPr>
        <w:pStyle w:val="FiBLmrsubheader"/>
        <w:spacing w:before="240" w:after="60"/>
      </w:pPr>
      <w:r w:rsidRPr="00674C58">
        <w:t>Liechtenstein</w:t>
      </w:r>
      <w:r w:rsidR="001E6548" w:rsidRPr="00674C58">
        <w:t xml:space="preserve"> led with the</w:t>
      </w:r>
      <w:r w:rsidR="00500E33" w:rsidRPr="00674C58">
        <w:t xml:space="preserve"> h</w:t>
      </w:r>
      <w:r w:rsidRPr="00674C58">
        <w:t>ighest</w:t>
      </w:r>
      <w:r w:rsidR="009C2906" w:rsidRPr="00674C58">
        <w:t xml:space="preserve"> share of total</w:t>
      </w:r>
      <w:r w:rsidRPr="00674C58">
        <w:t xml:space="preserve"> o</w:t>
      </w:r>
      <w:r w:rsidR="00D32E71" w:rsidRPr="00674C58">
        <w:t>r</w:t>
      </w:r>
      <w:r w:rsidRPr="00674C58">
        <w:t>ganic</w:t>
      </w:r>
      <w:r w:rsidR="00042522" w:rsidRPr="00674C58">
        <w:t xml:space="preserve"> </w:t>
      </w:r>
      <w:r w:rsidRPr="00674C58">
        <w:t>farmland in the world</w:t>
      </w:r>
    </w:p>
    <w:p w14:paraId="44203C14" w14:textId="56B4757A" w:rsidR="0013446E" w:rsidRPr="00674C58" w:rsidRDefault="0013446E" w:rsidP="001355DA">
      <w:pPr>
        <w:pStyle w:val="FiBLmrstandard"/>
      </w:pPr>
      <w:r w:rsidRPr="00674C58">
        <w:t>In 2022, organic farmland in Europe constituted 3.7 percent of the total agricultural land, while it accounted for 10.4 percent in the European Union. Among European countries and globally, Liechtenstein had the highest organic area share at 43.0</w:t>
      </w:r>
      <w:r w:rsidR="00AA7B7A" w:rsidRPr="00674C58">
        <w:t> </w:t>
      </w:r>
      <w:r w:rsidRPr="00674C58">
        <w:t xml:space="preserve">percent, followed by Austria, the </w:t>
      </w:r>
      <w:r w:rsidR="003A4EAF" w:rsidRPr="00674C58">
        <w:t>EU</w:t>
      </w:r>
      <w:r w:rsidRPr="00674C58">
        <w:t xml:space="preserve"> country with the highest organic share at</w:t>
      </w:r>
      <w:r w:rsidR="00AA7B7A" w:rsidRPr="00674C58">
        <w:t> </w:t>
      </w:r>
      <w:r w:rsidRPr="00674C58">
        <w:t>27.5 percent. Fifteen European countries reported that at least 10 percent of their farmland was organic.</w:t>
      </w:r>
    </w:p>
    <w:p w14:paraId="2EE86F2E" w14:textId="3B6B6C0D" w:rsidR="007B60A5" w:rsidRPr="00674C58" w:rsidRDefault="001E6548" w:rsidP="001355DA">
      <w:pPr>
        <w:pStyle w:val="FiBLmrstandard"/>
        <w:rPr>
          <w:rFonts w:ascii="Gill Sans MT" w:hAnsi="Gill Sans MT"/>
          <w:b/>
        </w:rPr>
      </w:pPr>
      <w:r w:rsidRPr="00674C58">
        <w:rPr>
          <w:rFonts w:ascii="Gill Sans MT" w:hAnsi="Gill Sans MT"/>
          <w:b/>
        </w:rPr>
        <w:t>Organic producers in the EU increased by</w:t>
      </w:r>
      <w:r w:rsidR="0058216C" w:rsidRPr="00674C58">
        <w:rPr>
          <w:rFonts w:ascii="Gill Sans MT" w:hAnsi="Gill Sans MT"/>
          <w:b/>
        </w:rPr>
        <w:t xml:space="preserve"> </w:t>
      </w:r>
      <w:r w:rsidR="001576EB" w:rsidRPr="00674C58">
        <w:rPr>
          <w:rFonts w:ascii="Gill Sans MT" w:hAnsi="Gill Sans MT"/>
          <w:b/>
        </w:rPr>
        <w:t>almost 10</w:t>
      </w:r>
      <w:r w:rsidR="00077547" w:rsidRPr="00674C58">
        <w:rPr>
          <w:rFonts w:ascii="Gill Sans MT" w:hAnsi="Gill Sans MT"/>
          <w:b/>
        </w:rPr>
        <w:t xml:space="preserve"> percent  </w:t>
      </w:r>
    </w:p>
    <w:p w14:paraId="38C6C427" w14:textId="3DCACD9B" w:rsidR="0013446E" w:rsidRPr="00674C58" w:rsidRDefault="0013446E" w:rsidP="0013446E">
      <w:pPr>
        <w:pStyle w:val="FiBLmrstandard"/>
      </w:pPr>
      <w:r w:rsidRPr="00674C58">
        <w:t xml:space="preserve">There were more than 480,000 organic producers in Europe and over 419,000 in the </w:t>
      </w:r>
      <w:r w:rsidR="003A4EAF" w:rsidRPr="00674C58">
        <w:t>EU</w:t>
      </w:r>
      <w:r w:rsidRPr="00674C58">
        <w:t xml:space="preserve">, </w:t>
      </w:r>
      <w:r w:rsidR="003A4EAF" w:rsidRPr="00674C58">
        <w:t>representing an increase of 7.5 and 9.5 percent</w:t>
      </w:r>
      <w:r w:rsidRPr="00674C58">
        <w:t>, respectively. Italy had the highest number with 82,593.</w:t>
      </w:r>
    </w:p>
    <w:p w14:paraId="1C6E3443" w14:textId="11A8E440" w:rsidR="0013446E" w:rsidRPr="00674C58" w:rsidRDefault="0013446E" w:rsidP="0013446E">
      <w:pPr>
        <w:pStyle w:val="FiBLmrstandard"/>
        <w:rPr>
          <w:b/>
        </w:rPr>
      </w:pPr>
      <w:r w:rsidRPr="00674C58">
        <w:t xml:space="preserve">In Europe, there were 91,775 processors, while the </w:t>
      </w:r>
      <w:r w:rsidR="001576EB" w:rsidRPr="00674C58">
        <w:t>EU</w:t>
      </w:r>
      <w:r w:rsidRPr="00674C58">
        <w:t xml:space="preserve"> had 85,956. Additionally, 7,609</w:t>
      </w:r>
      <w:r w:rsidR="00AA7B7A" w:rsidRPr="00674C58">
        <w:t> </w:t>
      </w:r>
      <w:r w:rsidRPr="00674C58">
        <w:t>importers were counted in Europe, with 6,450 in the European Union. Italy had the highest number of processors, nearly 24,000, while Germany led in the number of importers with more than 1,900</w:t>
      </w:r>
      <w:r w:rsidR="003A0D3F" w:rsidRPr="00674C58">
        <w:t>.</w:t>
      </w:r>
    </w:p>
    <w:p w14:paraId="319E121A" w14:textId="155AB908" w:rsidR="0010418E" w:rsidRPr="00674C58" w:rsidRDefault="0010418E" w:rsidP="0013446E">
      <w:pPr>
        <w:pStyle w:val="FiBLmrsubheader"/>
        <w:spacing w:before="240" w:after="60"/>
      </w:pPr>
      <w:bookmarkStart w:id="6" w:name="_Hlk157775558"/>
      <w:r w:rsidRPr="00674C58">
        <w:lastRenderedPageBreak/>
        <w:t xml:space="preserve">Retail sales </w:t>
      </w:r>
      <w:r w:rsidR="003A4EAF" w:rsidRPr="00674C58">
        <w:t>valued at</w:t>
      </w:r>
      <w:r w:rsidR="00426896" w:rsidRPr="00674C58">
        <w:t xml:space="preserve"> </w:t>
      </w:r>
      <w:r w:rsidR="004F17AD" w:rsidRPr="00674C58">
        <w:t>5</w:t>
      </w:r>
      <w:r w:rsidR="002E39FE" w:rsidRPr="00674C58">
        <w:t>3</w:t>
      </w:r>
      <w:r w:rsidR="00426896" w:rsidRPr="00674C58">
        <w:t>.</w:t>
      </w:r>
      <w:r w:rsidR="002E39FE" w:rsidRPr="00674C58">
        <w:t>1</w:t>
      </w:r>
      <w:r w:rsidR="00DB58A2" w:rsidRPr="00674C58">
        <w:t xml:space="preserve"> </w:t>
      </w:r>
      <w:r w:rsidRPr="00674C58">
        <w:t>billion</w:t>
      </w:r>
      <w:r w:rsidR="00AB0344" w:rsidRPr="00674C58">
        <w:t xml:space="preserve"> euros</w:t>
      </w:r>
      <w:r w:rsidR="003A4EAF" w:rsidRPr="00674C58">
        <w:t xml:space="preserve"> in Europe</w:t>
      </w:r>
    </w:p>
    <w:bookmarkEnd w:id="6"/>
    <w:p w14:paraId="3A7BDA19" w14:textId="1FF1E31A" w:rsidR="007B45D3" w:rsidRPr="00674C58" w:rsidRDefault="007B45D3" w:rsidP="007B45D3">
      <w:pPr>
        <w:pStyle w:val="FiBLmrstandard"/>
      </w:pPr>
      <w:r w:rsidRPr="00674C58">
        <w:t xml:space="preserve">Retail sales </w:t>
      </w:r>
      <w:r w:rsidR="00AF0485" w:rsidRPr="00674C58">
        <w:t xml:space="preserve">of organic products </w:t>
      </w:r>
      <w:r w:rsidRPr="00674C58">
        <w:t>in Europe reached a total value of 53.1 billion euros in 2022 (45.1 billion euros within the European Union). Germany stood out as the largest market, boasting sales of 15.3 billion euros. Globally, the EU held the position of the second-largest single market for organic products, trailing behind only the United States, which reported sales of 58.6 billion euros.</w:t>
      </w:r>
    </w:p>
    <w:p w14:paraId="3EB17E16" w14:textId="249F9F77" w:rsidR="007B45D3" w:rsidRPr="00674C58" w:rsidRDefault="000C1107" w:rsidP="007B45D3">
      <w:pPr>
        <w:pStyle w:val="FiBLmrstandard"/>
        <w:rPr>
          <w:b/>
        </w:rPr>
      </w:pPr>
      <w:r w:rsidRPr="00674C58">
        <w:t xml:space="preserve">In </w:t>
      </w:r>
      <w:r w:rsidR="007B45D3" w:rsidRPr="00674C58">
        <w:t>2022, the European market experienced a 2.2 percent drop (EU: -2.8</w:t>
      </w:r>
      <w:r w:rsidR="00AA7B7A" w:rsidRPr="00674C58">
        <w:t> </w:t>
      </w:r>
      <w:r w:rsidR="007B45D3" w:rsidRPr="00674C58">
        <w:t>percent). While several countries faced declining sales, noteworthy growth was</w:t>
      </w:r>
      <w:r w:rsidR="00AA7B7A" w:rsidRPr="00674C58">
        <w:t xml:space="preserve"> </w:t>
      </w:r>
      <w:r w:rsidR="007B45D3" w:rsidRPr="00674C58">
        <w:t>observed in countries such as Estonia (+6.0 percent) and The Netherlands (+4.4</w:t>
      </w:r>
      <w:r w:rsidR="00AA7B7A" w:rsidRPr="00674C58">
        <w:t> </w:t>
      </w:r>
      <w:r w:rsidR="007B45D3" w:rsidRPr="00674C58">
        <w:t>percent).</w:t>
      </w:r>
    </w:p>
    <w:p w14:paraId="22B1DDCA" w14:textId="3C51C141" w:rsidR="0010418E" w:rsidRPr="00674C58" w:rsidRDefault="0010418E" w:rsidP="007B45D3">
      <w:pPr>
        <w:pStyle w:val="FiBLmrsubheader"/>
        <w:spacing w:before="240" w:after="60"/>
      </w:pPr>
      <w:r w:rsidRPr="00674C58">
        <w:t>European consume</w:t>
      </w:r>
      <w:r w:rsidR="003A4EAF" w:rsidRPr="00674C58">
        <w:t>rs</w:t>
      </w:r>
      <w:r w:rsidR="00F13666" w:rsidRPr="00674C58">
        <w:t xml:space="preserve"> </w:t>
      </w:r>
      <w:r w:rsidRPr="00674C58">
        <w:t>spen</w:t>
      </w:r>
      <w:r w:rsidR="00225864" w:rsidRPr="00674C58">
        <w:t>t</w:t>
      </w:r>
      <w:r w:rsidRPr="00674C58">
        <w:t xml:space="preserve"> </w:t>
      </w:r>
      <w:r w:rsidR="00F13666" w:rsidRPr="00674C58">
        <w:t xml:space="preserve">64 euros per </w:t>
      </w:r>
      <w:r w:rsidR="001576EB" w:rsidRPr="00674C58">
        <w:t xml:space="preserve">person </w:t>
      </w:r>
      <w:r w:rsidR="00AA7B7A" w:rsidRPr="00674C58">
        <w:t>o</w:t>
      </w:r>
      <w:r w:rsidRPr="00674C58">
        <w:t>n organic food</w:t>
      </w:r>
      <w:r w:rsidR="001576EB" w:rsidRPr="00674C58">
        <w:t xml:space="preserve"> in 2022</w:t>
      </w:r>
    </w:p>
    <w:p w14:paraId="0E84FD31" w14:textId="1ECE219D" w:rsidR="003A4EAF" w:rsidRPr="00674C58" w:rsidRDefault="003A4EAF" w:rsidP="001576EB">
      <w:pPr>
        <w:pStyle w:val="FiBLmrstandard"/>
        <w:rPr>
          <w:b/>
        </w:rPr>
      </w:pPr>
      <w:r w:rsidRPr="00674C58">
        <w:t xml:space="preserve">In 2022, consumers in Europe spent an average of 64 euros on organic food per person (102 euros in the </w:t>
      </w:r>
      <w:r w:rsidR="007B45D3" w:rsidRPr="00674C58">
        <w:t>EU</w:t>
      </w:r>
      <w:r w:rsidRPr="00674C58">
        <w:t>). Consumer spending on organic food per capita doubled in the decade from 2013 to 2022. In 2022, Swiss and Danish consumers spent the most on organic food, with 437 and 365 euros per capita, respectively</w:t>
      </w:r>
      <w:r w:rsidR="000C1107" w:rsidRPr="00674C58">
        <w:t xml:space="preserve">. </w:t>
      </w:r>
    </w:p>
    <w:p w14:paraId="4D2F9229" w14:textId="5882019E" w:rsidR="0010418E" w:rsidRPr="00674C58" w:rsidRDefault="007B707B" w:rsidP="00293245">
      <w:pPr>
        <w:pStyle w:val="FiBLmrsubheader"/>
      </w:pPr>
      <w:r w:rsidRPr="00674C58">
        <w:t>Denmark ha</w:t>
      </w:r>
      <w:r w:rsidR="00772A89" w:rsidRPr="00674C58">
        <w:t>d</w:t>
      </w:r>
      <w:r w:rsidRPr="00674C58">
        <w:t xml:space="preserve"> the highest organic market share in the world</w:t>
      </w:r>
    </w:p>
    <w:p w14:paraId="3EBFD85D" w14:textId="28FACF2A" w:rsidR="00E77603" w:rsidRPr="00674C58" w:rsidRDefault="00E77603" w:rsidP="00293245">
      <w:pPr>
        <w:pStyle w:val="FiBLmrstandard"/>
        <w:rPr>
          <w:b/>
        </w:rPr>
      </w:pPr>
      <w:r w:rsidRPr="00674C58">
        <w:t xml:space="preserve">Globally, European countries accounted for the highest share of organic food sales as a percentage of their respective food markets. Denmark </w:t>
      </w:r>
      <w:r w:rsidR="001576EB" w:rsidRPr="00674C58">
        <w:t>continued to have</w:t>
      </w:r>
      <w:r w:rsidR="000C1107" w:rsidRPr="00674C58">
        <w:t xml:space="preserve"> the</w:t>
      </w:r>
      <w:r w:rsidR="001576EB" w:rsidRPr="00674C58">
        <w:t xml:space="preserve"> </w:t>
      </w:r>
      <w:r w:rsidRPr="00674C58">
        <w:t xml:space="preserve">highest share worldwide, with </w:t>
      </w:r>
      <w:r w:rsidR="00F13666" w:rsidRPr="00674C58">
        <w:t>12</w:t>
      </w:r>
      <w:r w:rsidRPr="00674C58">
        <w:t xml:space="preserve">.0 percent in </w:t>
      </w:r>
      <w:r w:rsidR="00F13666" w:rsidRPr="00674C58">
        <w:t>2022</w:t>
      </w:r>
      <w:r w:rsidRPr="00674C58">
        <w:t>, followed by Austria with a share of 11.</w:t>
      </w:r>
      <w:r w:rsidR="00F13666" w:rsidRPr="00674C58">
        <w:t>5</w:t>
      </w:r>
      <w:r w:rsidRPr="00674C58">
        <w:t xml:space="preserve"> percent and </w:t>
      </w:r>
      <w:r w:rsidR="00F13666" w:rsidRPr="00674C58">
        <w:t>Switzerland</w:t>
      </w:r>
      <w:r w:rsidRPr="00674C58">
        <w:t xml:space="preserve"> with 11.</w:t>
      </w:r>
      <w:r w:rsidR="00F13666" w:rsidRPr="00674C58">
        <w:t>2</w:t>
      </w:r>
      <w:r w:rsidRPr="00674C58">
        <w:t xml:space="preserve"> percent. </w:t>
      </w:r>
    </w:p>
    <w:p w14:paraId="7B79C8E4" w14:textId="77777777" w:rsidR="007B1234" w:rsidRPr="00674C58" w:rsidRDefault="007B1234">
      <w:pPr>
        <w:pStyle w:val="FiBLmraddinfo"/>
      </w:pPr>
      <w:r w:rsidRPr="00674C58">
        <w:t>Further information</w:t>
      </w:r>
    </w:p>
    <w:p w14:paraId="0A1CCF23" w14:textId="77777777" w:rsidR="007B1234" w:rsidRPr="00674C58" w:rsidRDefault="007B1234" w:rsidP="007B1234">
      <w:pPr>
        <w:pStyle w:val="FiBLmraddinfo"/>
      </w:pPr>
      <w:r w:rsidRPr="00674C58">
        <w:t>Contacts</w:t>
      </w:r>
    </w:p>
    <w:p w14:paraId="679649E1" w14:textId="10F44C6F" w:rsidR="00AF0485" w:rsidRPr="00674C58" w:rsidRDefault="007B1234" w:rsidP="005663EA">
      <w:pPr>
        <w:pStyle w:val="FiBLmrbulletpoint"/>
      </w:pPr>
      <w:r w:rsidRPr="00674C58">
        <w:t>Dr Helga Willer</w:t>
      </w:r>
      <w:r w:rsidR="00FC5299" w:rsidRPr="00674C58">
        <w:br/>
        <w:t>Research Institute of Organic Agriculture FiBL</w:t>
      </w:r>
      <w:r w:rsidR="00FC5299" w:rsidRPr="00674C58">
        <w:br/>
      </w:r>
      <w:r w:rsidRPr="00674C58">
        <w:t>Ackerstrasse 113, 5070 Frick, Switzerland</w:t>
      </w:r>
      <w:r w:rsidRPr="00674C58">
        <w:br/>
        <w:t xml:space="preserve">Phone +41 (0)79 218 06 26, </w:t>
      </w:r>
      <w:hyperlink r:id="rId13" w:history="1">
        <w:r w:rsidR="00AF0485" w:rsidRPr="00674C58">
          <w:rPr>
            <w:rStyle w:val="Hyperlink"/>
            <w:u w:val="none"/>
          </w:rPr>
          <w:t>helga.willer@fibl.org</w:t>
        </w:r>
      </w:hyperlink>
    </w:p>
    <w:p w14:paraId="67AD554F" w14:textId="218B4A07" w:rsidR="00AF0485" w:rsidRPr="00674C58" w:rsidRDefault="00D30D62" w:rsidP="00A8728F">
      <w:pPr>
        <w:pStyle w:val="FiBLmrbulletpoint"/>
      </w:pPr>
      <w:r w:rsidRPr="00674C58">
        <w:t xml:space="preserve">Diana </w:t>
      </w:r>
      <w:proofErr w:type="spellStart"/>
      <w:r w:rsidRPr="00674C58">
        <w:t>Schaack</w:t>
      </w:r>
      <w:proofErr w:type="spellEnd"/>
      <w:r w:rsidR="00FC5299" w:rsidRPr="00674C58">
        <w:br/>
      </w:r>
      <w:r w:rsidR="007B1234" w:rsidRPr="00674C58">
        <w:t>Agricultural Market Information Company</w:t>
      </w:r>
      <w:r w:rsidRPr="00674C58">
        <w:t xml:space="preserve"> (AMI)</w:t>
      </w:r>
      <w:r w:rsidR="00FC5299" w:rsidRPr="00674C58">
        <w:br/>
      </w:r>
      <w:proofErr w:type="spellStart"/>
      <w:r w:rsidR="007B1234" w:rsidRPr="00674C58">
        <w:t>Dreizehnmorgenweg</w:t>
      </w:r>
      <w:proofErr w:type="spellEnd"/>
      <w:r w:rsidR="007B1234" w:rsidRPr="00674C58">
        <w:t xml:space="preserve"> 10, 53175 Bonn, Germany</w:t>
      </w:r>
      <w:r w:rsidR="007B1234" w:rsidRPr="00674C58">
        <w:br/>
        <w:t xml:space="preserve">Phone +49 228 33805-0, </w:t>
      </w:r>
      <w:hyperlink r:id="rId14" w:history="1">
        <w:r w:rsidR="00AF0485" w:rsidRPr="00674C58">
          <w:rPr>
            <w:rStyle w:val="Hyperlink"/>
            <w:u w:val="none"/>
          </w:rPr>
          <w:t>diana.schaack@ami-informiert.de</w:t>
        </w:r>
      </w:hyperlink>
    </w:p>
    <w:p w14:paraId="1FF9BA1B" w14:textId="77777777" w:rsidR="009B0C59" w:rsidRPr="00674C58" w:rsidRDefault="009B0C59" w:rsidP="009B0C59">
      <w:pPr>
        <w:pStyle w:val="FiBLmraddinfo"/>
      </w:pPr>
      <w:r w:rsidRPr="00674C58">
        <w:t>Download, infographics and online databases</w:t>
      </w:r>
    </w:p>
    <w:p w14:paraId="4A65613E" w14:textId="3F531B71" w:rsidR="009B0C59" w:rsidRPr="00674C58" w:rsidRDefault="009B0C59" w:rsidP="001576EB">
      <w:pPr>
        <w:pStyle w:val="FiBLmrbulletpoint"/>
        <w:rPr>
          <w:rStyle w:val="Hyperlink"/>
          <w:color w:val="auto"/>
          <w:u w:val="none"/>
        </w:rPr>
      </w:pPr>
      <w:r w:rsidRPr="00674C58">
        <w:t xml:space="preserve">Download </w:t>
      </w:r>
      <w:r w:rsidR="00D339A6" w:rsidRPr="00674C58">
        <w:t xml:space="preserve">the statistical yearbook </w:t>
      </w:r>
      <w:r w:rsidR="0060369E" w:rsidRPr="00674C58">
        <w:t>“</w:t>
      </w:r>
      <w:r w:rsidRPr="00674C58">
        <w:t xml:space="preserve">The World of Organic Agriculture </w:t>
      </w:r>
      <w:r w:rsidR="00AB0344" w:rsidRPr="00674C58">
        <w:t>202</w:t>
      </w:r>
      <w:r w:rsidR="001576EB" w:rsidRPr="00674C58">
        <w:t>4</w:t>
      </w:r>
      <w:r w:rsidR="0060369E" w:rsidRPr="00674C58">
        <w:t>”</w:t>
      </w:r>
      <w:r w:rsidR="008E63F1" w:rsidRPr="00674C58">
        <w:br/>
      </w:r>
      <w:hyperlink r:id="rId15" w:history="1">
        <w:r w:rsidR="00F23F52" w:rsidRPr="00674C58">
          <w:rPr>
            <w:rStyle w:val="Hyperlink"/>
            <w:u w:val="none"/>
          </w:rPr>
          <w:t>https://www.organic-world.net/yearbook/yearbook-2024.html</w:t>
        </w:r>
      </w:hyperlink>
      <w:r w:rsidR="001576EB" w:rsidRPr="00674C58">
        <w:rPr>
          <w:rStyle w:val="Hyperlink"/>
          <w:color w:val="auto"/>
          <w:u w:val="none"/>
        </w:rPr>
        <w:t xml:space="preserve"> </w:t>
      </w:r>
    </w:p>
    <w:p w14:paraId="5F715EE6" w14:textId="39A1D6EE" w:rsidR="009B0C59" w:rsidRPr="00674C58" w:rsidRDefault="009B0C59" w:rsidP="001576EB">
      <w:pPr>
        <w:pStyle w:val="FiBLmrbulletpoint"/>
      </w:pPr>
      <w:r w:rsidRPr="00674C58">
        <w:lastRenderedPageBreak/>
        <w:t>Infog</w:t>
      </w:r>
      <w:r w:rsidR="008E63F1" w:rsidRPr="00674C58">
        <w:t>raphics</w:t>
      </w:r>
      <w:r w:rsidR="008E63F1" w:rsidRPr="00674C58">
        <w:br/>
      </w:r>
      <w:hyperlink r:id="rId16" w:history="1">
        <w:r w:rsidR="0017551F" w:rsidRPr="00674C58">
          <w:rPr>
            <w:rStyle w:val="Hyperlink"/>
            <w:u w:val="none"/>
          </w:rPr>
          <w:t>www.organic-world.net/yearbook/yearbook-2024/infographics.html</w:t>
        </w:r>
      </w:hyperlink>
    </w:p>
    <w:p w14:paraId="1B529538" w14:textId="051265A5" w:rsidR="009B0C59" w:rsidRPr="00674C58" w:rsidRDefault="009B0C59" w:rsidP="00584F88">
      <w:pPr>
        <w:pStyle w:val="FiBLmrbulletpoint"/>
        <w:rPr>
          <w:rStyle w:val="Hyperlink"/>
          <w:u w:val="none"/>
          <w:lang w:val="en-US"/>
        </w:rPr>
      </w:pPr>
      <w:r w:rsidRPr="00674C58">
        <w:t>FiBL statistics on organic agriculture worldwide</w:t>
      </w:r>
      <w:r w:rsidR="008E63F1" w:rsidRPr="00674C58">
        <w:br/>
      </w:r>
      <w:r w:rsidR="00F57C25" w:rsidRPr="00674C58">
        <w:rPr>
          <w:rStyle w:val="Hyperlink"/>
          <w:u w:val="none"/>
          <w:lang w:val="en-US"/>
        </w:rPr>
        <w:t>https://</w:t>
      </w:r>
      <w:hyperlink r:id="rId17" w:history="1">
        <w:r w:rsidR="00515CC3" w:rsidRPr="00674C58">
          <w:rPr>
            <w:rStyle w:val="Hyperlink"/>
            <w:u w:val="none"/>
            <w:lang w:val="en-US"/>
          </w:rPr>
          <w:t>statistics.fibl.org</w:t>
        </w:r>
      </w:hyperlink>
      <w:r w:rsidR="00F57C25" w:rsidRPr="00674C58">
        <w:rPr>
          <w:rStyle w:val="Hyperlink"/>
          <w:u w:val="none"/>
          <w:lang w:val="en-US"/>
        </w:rPr>
        <w:t xml:space="preserve"> </w:t>
      </w:r>
    </w:p>
    <w:p w14:paraId="4A333BE4" w14:textId="77777777" w:rsidR="0010418E" w:rsidRPr="00674C58" w:rsidRDefault="0010418E" w:rsidP="0010418E">
      <w:pPr>
        <w:pStyle w:val="FiBLmraddinfo"/>
      </w:pPr>
      <w:r w:rsidRPr="00674C58">
        <w:t>Links</w:t>
      </w:r>
    </w:p>
    <w:p w14:paraId="10F42947" w14:textId="14974200" w:rsidR="0010418E" w:rsidRPr="00674C58" w:rsidRDefault="00B65992" w:rsidP="002346DF">
      <w:pPr>
        <w:pStyle w:val="FiBLmrbulletpoint"/>
      </w:pPr>
      <w:hyperlink r:id="rId18" w:history="1">
        <w:r w:rsidR="0017551F" w:rsidRPr="00674C58">
          <w:rPr>
            <w:rStyle w:val="Hyperlink"/>
            <w:u w:val="none"/>
          </w:rPr>
          <w:t>www.fibl.org</w:t>
        </w:r>
      </w:hyperlink>
      <w:r w:rsidR="0010418E" w:rsidRPr="00674C58">
        <w:t xml:space="preserve">: Website of FiBL, the Research Institute of Organic Agriculture </w:t>
      </w:r>
    </w:p>
    <w:p w14:paraId="01E04005" w14:textId="24F44B6D" w:rsidR="0010418E" w:rsidRPr="00674C58" w:rsidRDefault="00B65992" w:rsidP="002346DF">
      <w:pPr>
        <w:pStyle w:val="FiBLmrbulletpoint"/>
      </w:pPr>
      <w:hyperlink r:id="rId19" w:history="1">
        <w:r w:rsidR="00B45D24" w:rsidRPr="00674C58">
          <w:rPr>
            <w:rStyle w:val="Hyperlink"/>
            <w:u w:val="none"/>
          </w:rPr>
          <w:t>www.</w:t>
        </w:r>
        <w:r w:rsidR="0010418E" w:rsidRPr="00674C58">
          <w:rPr>
            <w:rStyle w:val="Hyperlink"/>
            <w:u w:val="none"/>
          </w:rPr>
          <w:t>ami-informiert.de</w:t>
        </w:r>
      </w:hyperlink>
      <w:r w:rsidR="0010418E" w:rsidRPr="00674C58">
        <w:t>: Website of AMI, the Agricult</w:t>
      </w:r>
      <w:r w:rsidR="00101A2B" w:rsidRPr="00674C58">
        <w:t>ural Market Information Company</w:t>
      </w:r>
    </w:p>
    <w:p w14:paraId="359E7E96" w14:textId="4D5965B1" w:rsidR="0010418E" w:rsidRPr="00674C58" w:rsidRDefault="00B65992" w:rsidP="002346DF">
      <w:pPr>
        <w:pStyle w:val="FiBLmrbulletpoint"/>
      </w:pPr>
      <w:hyperlink r:id="rId20" w:history="1">
        <w:r w:rsidR="00B45D24" w:rsidRPr="00674C58">
          <w:rPr>
            <w:rStyle w:val="Hyperlink"/>
            <w:u w:val="none"/>
          </w:rPr>
          <w:t>www.</w:t>
        </w:r>
        <w:r w:rsidR="0010418E" w:rsidRPr="00674C58">
          <w:rPr>
            <w:rStyle w:val="Hyperlink"/>
            <w:u w:val="none"/>
          </w:rPr>
          <w:t>biofach.de</w:t>
        </w:r>
      </w:hyperlink>
      <w:r w:rsidR="0010418E" w:rsidRPr="00674C58">
        <w:t>: Website of BIOFACH</w:t>
      </w:r>
    </w:p>
    <w:p w14:paraId="04083681" w14:textId="6B0E2528" w:rsidR="00D339A6" w:rsidRPr="00674C58" w:rsidRDefault="00D339A6" w:rsidP="00D339A6">
      <w:pPr>
        <w:pStyle w:val="FiBLmraddinfo"/>
      </w:pPr>
      <w:r w:rsidRPr="00674C58">
        <w:t>Session “The European Market for Organic Food” at the BIOFACH Congress</w:t>
      </w:r>
    </w:p>
    <w:p w14:paraId="2A4201D7" w14:textId="108E5804" w:rsidR="00EC1C2B" w:rsidRPr="00674C58" w:rsidRDefault="00EC1C2B" w:rsidP="00254090">
      <w:pPr>
        <w:pStyle w:val="FiBLmrstandard"/>
      </w:pPr>
      <w:r w:rsidRPr="00674C58">
        <w:t>Tuesday, February</w:t>
      </w:r>
      <w:r w:rsidR="00E45928" w:rsidRPr="00674C58">
        <w:t xml:space="preserve"> 13, </w:t>
      </w:r>
      <w:r w:rsidR="001527A7" w:rsidRPr="00674C58">
        <w:t>2024</w:t>
      </w:r>
      <w:r w:rsidRPr="00674C58">
        <w:t xml:space="preserve">, </w:t>
      </w:r>
      <w:r w:rsidR="00F7656B" w:rsidRPr="00674C58">
        <w:t>5</w:t>
      </w:r>
      <w:r w:rsidR="00AB0344" w:rsidRPr="00674C58">
        <w:t xml:space="preserve"> </w:t>
      </w:r>
      <w:r w:rsidR="00F7656B" w:rsidRPr="00674C58">
        <w:t>p</w:t>
      </w:r>
      <w:r w:rsidR="00AB0344" w:rsidRPr="00674C58">
        <w:t xml:space="preserve">m to </w:t>
      </w:r>
      <w:r w:rsidR="00F7656B" w:rsidRPr="00674C58">
        <w:t>6</w:t>
      </w:r>
      <w:r w:rsidR="00AB0344" w:rsidRPr="00674C58">
        <w:t xml:space="preserve"> </w:t>
      </w:r>
      <w:r w:rsidRPr="00674C58">
        <w:t xml:space="preserve">pm CET </w:t>
      </w:r>
    </w:p>
    <w:p w14:paraId="17AE0EAD" w14:textId="77777777" w:rsidR="00D339A6" w:rsidRPr="00674C58" w:rsidRDefault="007853CC" w:rsidP="00D339A6">
      <w:pPr>
        <w:pStyle w:val="FiBLmrstandard"/>
        <w:rPr>
          <w:lang w:eastAsia="de-CH"/>
        </w:rPr>
      </w:pPr>
      <w:r w:rsidRPr="00674C58">
        <w:rPr>
          <w:b/>
          <w:lang w:eastAsia="de-CH"/>
        </w:rPr>
        <w:t>Speakers</w:t>
      </w:r>
      <w:r w:rsidRPr="00674C58">
        <w:rPr>
          <w:lang w:eastAsia="de-CH"/>
        </w:rPr>
        <w:t xml:space="preserve">: </w:t>
      </w:r>
    </w:p>
    <w:p w14:paraId="770F96AB" w14:textId="3F4D6672" w:rsidR="001527A7" w:rsidRPr="00674C58" w:rsidRDefault="001527A7" w:rsidP="001527A7">
      <w:pPr>
        <w:pStyle w:val="FiBLmrbulletpoint"/>
        <w:rPr>
          <w:lang w:val="de-CH" w:eastAsia="de-CH"/>
        </w:rPr>
      </w:pPr>
      <w:r w:rsidRPr="00674C58">
        <w:rPr>
          <w:lang w:val="de-CH" w:eastAsia="de-CH"/>
        </w:rPr>
        <w:t>Dr. Susanne Padel, Thünen-Institut für Betriebswirtschaft, Germany</w:t>
      </w:r>
    </w:p>
    <w:p w14:paraId="719A1C60" w14:textId="77777777" w:rsidR="001576EB" w:rsidRPr="00674C58" w:rsidRDefault="001576EB" w:rsidP="001576EB">
      <w:pPr>
        <w:pStyle w:val="FiBLmrbulletpoint"/>
        <w:rPr>
          <w:lang w:val="en-US" w:eastAsia="de-CH"/>
        </w:rPr>
      </w:pPr>
      <w:r w:rsidRPr="00674C58">
        <w:rPr>
          <w:lang w:val="en-US" w:eastAsia="de-CH"/>
        </w:rPr>
        <w:t>Jan Trávníček, Research Institute of Organic Agriculture FiBL, Switzerland</w:t>
      </w:r>
    </w:p>
    <w:p w14:paraId="0DB43C96" w14:textId="77777777" w:rsidR="001576EB" w:rsidRPr="00674C58" w:rsidRDefault="001576EB" w:rsidP="001576EB">
      <w:pPr>
        <w:pStyle w:val="FiBLmrbulletpoint"/>
        <w:rPr>
          <w:lang w:val="de-CH" w:eastAsia="de-CH"/>
        </w:rPr>
      </w:pPr>
      <w:r w:rsidRPr="00674C58">
        <w:rPr>
          <w:lang w:val="de-CH" w:eastAsia="de-CH"/>
        </w:rPr>
        <w:t>Diana Schaack, Agrarmarkt Informations-Gesellschaft mbH, Germany</w:t>
      </w:r>
    </w:p>
    <w:p w14:paraId="7DF162DE" w14:textId="577D36BF" w:rsidR="001527A7" w:rsidRPr="00674C58" w:rsidRDefault="001527A7" w:rsidP="001527A7">
      <w:pPr>
        <w:pStyle w:val="FiBLmrbulletpoint"/>
        <w:rPr>
          <w:lang w:val="fr-CH" w:eastAsia="de-CH"/>
        </w:rPr>
      </w:pPr>
      <w:r w:rsidRPr="00674C58">
        <w:rPr>
          <w:lang w:val="fr-CH" w:eastAsia="de-CH"/>
        </w:rPr>
        <w:t xml:space="preserve">Sarah Le Douarin, Agence Bio, </w:t>
      </w:r>
      <w:r w:rsidR="001576EB" w:rsidRPr="00674C58">
        <w:rPr>
          <w:lang w:val="fr-CH" w:eastAsia="de-CH"/>
        </w:rPr>
        <w:t>France</w:t>
      </w:r>
    </w:p>
    <w:p w14:paraId="34C9AAC7" w14:textId="0CC12718" w:rsidR="001576EB" w:rsidRPr="00674C58" w:rsidRDefault="001576EB" w:rsidP="001576EB">
      <w:pPr>
        <w:pStyle w:val="FiBLmrbulletpoint"/>
        <w:rPr>
          <w:lang w:eastAsia="de-CH"/>
        </w:rPr>
      </w:pPr>
      <w:r w:rsidRPr="00674C58">
        <w:rPr>
          <w:lang w:eastAsia="de-CH"/>
        </w:rPr>
        <w:t>Lee Holdstock, Soil Association Certification</w:t>
      </w:r>
    </w:p>
    <w:p w14:paraId="33C6724B" w14:textId="5A480C5B" w:rsidR="001527A7" w:rsidRPr="00674C58" w:rsidRDefault="001527A7" w:rsidP="001527A7">
      <w:pPr>
        <w:pStyle w:val="FiBLmrbulletpoint"/>
        <w:rPr>
          <w:lang w:val="it-CH" w:eastAsia="de-CH"/>
        </w:rPr>
      </w:pPr>
      <w:r w:rsidRPr="00674C58">
        <w:rPr>
          <w:lang w:val="it-CH" w:eastAsia="de-CH"/>
        </w:rPr>
        <w:t>Prof. Dr. Raffaele Zanoli</w:t>
      </w:r>
      <w:r w:rsidR="001576EB" w:rsidRPr="00674C58">
        <w:rPr>
          <w:lang w:val="it-CH" w:eastAsia="de-CH"/>
        </w:rPr>
        <w:t xml:space="preserve"> and </w:t>
      </w:r>
      <w:r w:rsidR="0058216C" w:rsidRPr="00674C58">
        <w:rPr>
          <w:lang w:val="it-CH" w:eastAsia="de-CH"/>
        </w:rPr>
        <w:t xml:space="preserve">Prof. Dr. </w:t>
      </w:r>
      <w:r w:rsidR="001576EB" w:rsidRPr="00674C58">
        <w:rPr>
          <w:lang w:val="it-CH" w:eastAsia="de-CH"/>
        </w:rPr>
        <w:t>Francesco Solfanelli</w:t>
      </w:r>
      <w:r w:rsidRPr="00674C58">
        <w:rPr>
          <w:lang w:val="it-CH" w:eastAsia="de-CH"/>
        </w:rPr>
        <w:t>, Univers</w:t>
      </w:r>
      <w:r w:rsidR="00333CBD" w:rsidRPr="00674C58">
        <w:rPr>
          <w:lang w:val="it-CH" w:eastAsia="de-CH"/>
        </w:rPr>
        <w:t>i</w:t>
      </w:r>
      <w:r w:rsidRPr="00674C58">
        <w:rPr>
          <w:lang w:val="it-CH" w:eastAsia="de-CH"/>
        </w:rPr>
        <w:t>tà Politecnica delle Marche (UNIVPM), Italy</w:t>
      </w:r>
    </w:p>
    <w:p w14:paraId="35B3E541" w14:textId="2966B4D9" w:rsidR="00EC1C2B" w:rsidRPr="00674C58" w:rsidRDefault="00EC1C2B" w:rsidP="00FC5299">
      <w:pPr>
        <w:pStyle w:val="FiBLmrstandard"/>
      </w:pPr>
      <w:r w:rsidRPr="00674C58">
        <w:t>More information:</w:t>
      </w:r>
      <w:bookmarkStart w:id="7" w:name="_Hlk157777290"/>
      <w:r w:rsidR="00EA07D5" w:rsidRPr="00674C58">
        <w:rPr>
          <w:lang w:val="en-US"/>
        </w:rPr>
        <w:t xml:space="preserve"> </w:t>
      </w:r>
      <w:hyperlink r:id="rId21" w:anchor="c73663" w:history="1">
        <w:r w:rsidR="00EA07D5" w:rsidRPr="00674C58">
          <w:rPr>
            <w:rStyle w:val="Hyperlink"/>
            <w:u w:val="none"/>
            <w:lang w:val="en-US"/>
          </w:rPr>
          <w:t>https://biofach.fibl.org/en/biofach-all/biofach-2024#c73663</w:t>
        </w:r>
      </w:hyperlink>
      <w:r w:rsidR="00EA07D5" w:rsidRPr="00674C58">
        <w:rPr>
          <w:lang w:val="en-US"/>
        </w:rPr>
        <w:t xml:space="preserve"> </w:t>
      </w:r>
      <w:r w:rsidR="001527A7" w:rsidRPr="00674C58">
        <w:t xml:space="preserve">  </w:t>
      </w:r>
      <w:bookmarkEnd w:id="7"/>
    </w:p>
    <w:p w14:paraId="7240B0E4" w14:textId="77777777" w:rsidR="00F678FA" w:rsidRPr="00674C58" w:rsidRDefault="00F678FA" w:rsidP="00F678FA">
      <w:pPr>
        <w:pStyle w:val="FiBLmraddinfo"/>
      </w:pPr>
      <w:r w:rsidRPr="00674C58">
        <w:t>This media release online</w:t>
      </w:r>
    </w:p>
    <w:p w14:paraId="36CEFEA2" w14:textId="53BC4D2A" w:rsidR="00F678FA" w:rsidRPr="00674C58" w:rsidRDefault="00F678FA" w:rsidP="002A43EB">
      <w:pPr>
        <w:pStyle w:val="FiBLmrstandard"/>
      </w:pPr>
      <w:r w:rsidRPr="00674C58">
        <w:t xml:space="preserve">This media release and </w:t>
      </w:r>
      <w:r w:rsidR="006A2935" w:rsidRPr="00674C58">
        <w:t>infographics</w:t>
      </w:r>
      <w:r w:rsidRPr="00674C58">
        <w:t xml:space="preserve"> can be accessed online at </w:t>
      </w:r>
      <w:hyperlink r:id="rId22" w:history="1">
        <w:r w:rsidR="00ED7E78" w:rsidRPr="00674C58">
          <w:rPr>
            <w:rStyle w:val="Hyperlink"/>
            <w:u w:val="none"/>
          </w:rPr>
          <w:t>https://www.fibl.org/en/info-centre/media.html</w:t>
        </w:r>
      </w:hyperlink>
      <w:r w:rsidR="002A43EB" w:rsidRPr="00674C58">
        <w:t>.</w:t>
      </w:r>
    </w:p>
    <w:p w14:paraId="32D5C9C2" w14:textId="5035FEE0" w:rsidR="00772A89" w:rsidRPr="00674C58" w:rsidRDefault="00772A89" w:rsidP="00C95E79">
      <w:pPr>
        <w:pStyle w:val="FiBLmraddinfo"/>
      </w:pPr>
      <w:r w:rsidRPr="00674C58">
        <w:t>Acknowledgement</w:t>
      </w:r>
      <w:r w:rsidR="00D339A6" w:rsidRPr="00674C58">
        <w:t>s</w:t>
      </w:r>
      <w:r w:rsidRPr="00674C58">
        <w:t xml:space="preserve"> </w:t>
      </w:r>
    </w:p>
    <w:p w14:paraId="45C34D5A" w14:textId="77777777" w:rsidR="006A18E4" w:rsidRPr="00674C58" w:rsidRDefault="0058216C" w:rsidP="0058216C">
      <w:pPr>
        <w:pStyle w:val="FiBLmrstandard"/>
        <w:rPr>
          <w:sz w:val="18"/>
          <w:szCs w:val="18"/>
        </w:rPr>
      </w:pPr>
      <w:r w:rsidRPr="00674C58">
        <w:rPr>
          <w:sz w:val="18"/>
          <w:szCs w:val="18"/>
        </w:rPr>
        <w:t>The European data collection is part of the global survey on organic agriculture worldwide, which receives support by the Swiss State Secretariat for Economic Affairs, the Coop Sustainability Fund and Nürnberg</w:t>
      </w:r>
      <w:r w:rsidR="00541306" w:rsidRPr="00674C58">
        <w:rPr>
          <w:sz w:val="18"/>
          <w:szCs w:val="18"/>
        </w:rPr>
        <w:t>M</w:t>
      </w:r>
      <w:r w:rsidRPr="00674C58">
        <w:rPr>
          <w:sz w:val="18"/>
          <w:szCs w:val="18"/>
        </w:rPr>
        <w:t xml:space="preserve">esse/BIOFACH. </w:t>
      </w:r>
    </w:p>
    <w:p w14:paraId="56715D8E" w14:textId="5FEDEDA9" w:rsidR="0058216C" w:rsidRPr="00674C58" w:rsidRDefault="0058216C" w:rsidP="0058216C">
      <w:pPr>
        <w:pStyle w:val="FiBLmrstandard"/>
        <w:rPr>
          <w:sz w:val="18"/>
          <w:szCs w:val="18"/>
        </w:rPr>
      </w:pPr>
      <w:r w:rsidRPr="00674C58">
        <w:rPr>
          <w:sz w:val="18"/>
          <w:szCs w:val="18"/>
        </w:rPr>
        <w:t xml:space="preserve">Some of this work was done in the framework of the OrganicTargets4EU project funded by the European Union (Grant no. 101060368) and by the Swiss State Secretariat for Education, Research and Innovation (SERI) (Grant no. 22.00155). Views and opinions expressed are however those of the author(s) only and do </w:t>
      </w:r>
      <w:r w:rsidRPr="00674C58">
        <w:rPr>
          <w:sz w:val="18"/>
          <w:szCs w:val="18"/>
        </w:rPr>
        <w:lastRenderedPageBreak/>
        <w:t>not necessarily reflect those of the European Union, European Research Executive Agency (REA) or Swiss State Secretariat for Education, Research and Innovation (SERI). Neither the European Union nor any other granting authority can be held responsible for them.</w:t>
      </w:r>
    </w:p>
    <w:p w14:paraId="17FD64FE" w14:textId="77777777" w:rsidR="00772A89" w:rsidRPr="00674C58" w:rsidRDefault="00772A89" w:rsidP="002A43EB">
      <w:pPr>
        <w:pStyle w:val="FiBLmrstandard"/>
      </w:pPr>
    </w:p>
    <w:p w14:paraId="3E0B6498" w14:textId="77777777" w:rsidR="002C0814" w:rsidRPr="00674C58" w:rsidRDefault="006569B3" w:rsidP="00AB53C7">
      <w:pPr>
        <w:pStyle w:val="FiBLmrannotationtitle"/>
        <w:pBdr>
          <w:top w:val="single" w:sz="48" w:space="0" w:color="E1EDF2"/>
          <w:bottom w:val="single" w:sz="48" w:space="0" w:color="E1EDF2"/>
        </w:pBdr>
      </w:pPr>
      <w:r w:rsidRPr="00674C58">
        <w:t>About</w:t>
      </w:r>
      <w:r w:rsidR="002C0814" w:rsidRPr="00674C58">
        <w:t xml:space="preserve"> FiBL</w:t>
      </w:r>
    </w:p>
    <w:p w14:paraId="3823B505" w14:textId="361FDD15" w:rsidR="00291CC1" w:rsidRPr="00674C58" w:rsidRDefault="00291CC1" w:rsidP="00AB53C7">
      <w:pPr>
        <w:pStyle w:val="FiBLmrannotation"/>
        <w:pBdr>
          <w:top w:val="single" w:sz="48" w:space="0" w:color="E1EDF2"/>
          <w:bottom w:val="single" w:sz="48" w:space="0" w:color="E1EDF2"/>
        </w:pBdr>
      </w:pPr>
      <w:r w:rsidRPr="00674C58">
        <w:t xml:space="preserve">The Research Institute of Organic Agriculture FiBL is one of the world’s leading institutes in the field of organic agriculture. FiBL’s strengths lie in its interdisciplinary research, innovations developed jointly with farmers and the food industry, and rapid knowledge transfer. The FiBL Group currently includes FiBL Switzerland (founded in 1973), FiBL Germany (2001), FiBL Austria (2004), ÖMKi (Hungarian Research Institute of Organic Agriculture, 2011), FiBL France (2017) and FiBL Europe (2017), which is jointly supported by the five national institutes. FiBL employs </w:t>
      </w:r>
      <w:r w:rsidR="0058216C" w:rsidRPr="00674C58">
        <w:t xml:space="preserve">more than </w:t>
      </w:r>
      <w:r w:rsidR="00225864" w:rsidRPr="00674C58">
        <w:t>4</w:t>
      </w:r>
      <w:r w:rsidRPr="00674C58">
        <w:t>00 staff at its various locations.</w:t>
      </w:r>
    </w:p>
    <w:p w14:paraId="6B277B52" w14:textId="60E4C027" w:rsidR="000F3AB3" w:rsidRPr="00674C58" w:rsidRDefault="00B65992" w:rsidP="00AB53C7">
      <w:pPr>
        <w:pStyle w:val="FiBLmrannotation"/>
        <w:pBdr>
          <w:top w:val="single" w:sz="48" w:space="0" w:color="E1EDF2"/>
          <w:bottom w:val="single" w:sz="48" w:space="0" w:color="E1EDF2"/>
        </w:pBdr>
        <w:rPr>
          <w:rStyle w:val="Hyperlink"/>
          <w:color w:val="auto"/>
          <w:u w:val="none"/>
        </w:rPr>
        <w:sectPr w:rsidR="000F3AB3" w:rsidRPr="00674C58" w:rsidSect="00232993">
          <w:footerReference w:type="default" r:id="rId23"/>
          <w:type w:val="continuous"/>
          <w:pgSz w:w="11906" w:h="16838"/>
          <w:pgMar w:top="2268" w:right="1701" w:bottom="1701" w:left="1701" w:header="1134" w:footer="567" w:gutter="0"/>
          <w:cols w:space="708"/>
          <w:docGrid w:linePitch="360"/>
        </w:sectPr>
      </w:pPr>
      <w:hyperlink r:id="rId24" w:history="1">
        <w:r w:rsidR="00291CC1" w:rsidRPr="00674C58">
          <w:rPr>
            <w:rStyle w:val="Hyperlink"/>
            <w:u w:val="none"/>
          </w:rPr>
          <w:t>www.fibl.org</w:t>
        </w:r>
      </w:hyperlink>
    </w:p>
    <w:p w14:paraId="573FB94C" w14:textId="345A1405" w:rsidR="000F3AB3" w:rsidRPr="00674C58" w:rsidRDefault="000F3AB3" w:rsidP="000F3AB3">
      <w:pPr>
        <w:pageBreakBefore/>
        <w:widowControl w:val="0"/>
        <w:tabs>
          <w:tab w:val="left" w:pos="3067"/>
        </w:tabs>
        <w:spacing w:before="40" w:after="400" w:line="240" w:lineRule="auto"/>
        <w:outlineLvl w:val="0"/>
        <w:rPr>
          <w:rFonts w:ascii="Gill Sans MT" w:eastAsia="MS Mincho" w:hAnsi="Gill Sans MT" w:cs="Times New Roman"/>
          <w:b/>
          <w:sz w:val="28"/>
          <w:szCs w:val="20"/>
          <w:lang w:val="en-IE" w:eastAsia="de-CH"/>
        </w:rPr>
      </w:pPr>
      <w:bookmarkStart w:id="8" w:name="_Toc123831502"/>
      <w:bookmarkStart w:id="9" w:name="_Toc30862547"/>
      <w:bookmarkStart w:id="10" w:name="_Ref30843172"/>
      <w:bookmarkStart w:id="11" w:name="_Toc505163380"/>
      <w:bookmarkStart w:id="12" w:name="_Toc504636868"/>
      <w:bookmarkStart w:id="13" w:name="_Toc157326180"/>
      <w:bookmarkStart w:id="14" w:name="_Ref409537334"/>
      <w:r w:rsidRPr="00674C58">
        <w:rPr>
          <w:rFonts w:ascii="Gill Sans MT" w:eastAsia="MS Mincho" w:hAnsi="Gill Sans MT" w:cs="Times New Roman"/>
          <w:b/>
          <w:sz w:val="28"/>
          <w:szCs w:val="20"/>
          <w:lang w:val="en-IE" w:eastAsia="de-CH"/>
        </w:rPr>
        <w:lastRenderedPageBreak/>
        <w:br/>
        <w:t xml:space="preserve">Europe and the European Union: Key indicators </w:t>
      </w:r>
      <w:bookmarkEnd w:id="8"/>
      <w:bookmarkEnd w:id="9"/>
      <w:bookmarkEnd w:id="10"/>
      <w:bookmarkEnd w:id="11"/>
      <w:bookmarkEnd w:id="12"/>
      <w:r w:rsidRPr="00674C58">
        <w:rPr>
          <w:rFonts w:ascii="Gill Sans MT" w:eastAsia="MS Mincho" w:hAnsi="Gill Sans MT" w:cs="Times New Roman"/>
          <w:b/>
          <w:sz w:val="28"/>
          <w:szCs w:val="20"/>
          <w:lang w:val="en-IE" w:eastAsia="de-CH"/>
        </w:rPr>
        <w:t>2022</w:t>
      </w:r>
      <w:bookmarkEnd w:id="13"/>
    </w:p>
    <w:tbl>
      <w:tblPr>
        <w:tblStyle w:val="woatable1"/>
        <w:tblW w:w="8430" w:type="dxa"/>
        <w:tblInd w:w="0" w:type="dxa"/>
        <w:tblLayout w:type="fixed"/>
        <w:tblLook w:val="0420" w:firstRow="1" w:lastRow="0" w:firstColumn="0" w:lastColumn="0" w:noHBand="0" w:noVBand="1"/>
      </w:tblPr>
      <w:tblGrid>
        <w:gridCol w:w="1611"/>
        <w:gridCol w:w="2273"/>
        <w:gridCol w:w="2273"/>
        <w:gridCol w:w="2273"/>
      </w:tblGrid>
      <w:tr w:rsidR="000F3AB3" w:rsidRPr="00674C58" w14:paraId="1B67C345" w14:textId="77777777" w:rsidTr="000F3AB3">
        <w:trPr>
          <w:cnfStyle w:val="100000000000" w:firstRow="1" w:lastRow="0" w:firstColumn="0" w:lastColumn="0" w:oddVBand="0" w:evenVBand="0" w:oddHBand="0" w:evenHBand="0" w:firstRowFirstColumn="0" w:firstRowLastColumn="0" w:lastRowFirstColumn="0" w:lastRowLastColumn="0"/>
          <w:trHeight w:val="204"/>
          <w:tblHeader/>
        </w:trPr>
        <w:tc>
          <w:tcPr>
            <w:tcW w:w="1611" w:type="dxa"/>
            <w:tcBorders>
              <w:left w:val="nil"/>
              <w:right w:val="nil"/>
            </w:tcBorders>
            <w:hideMark/>
          </w:tcPr>
          <w:p w14:paraId="42B47FC9" w14:textId="77777777" w:rsidR="000F3AB3" w:rsidRPr="00674C58" w:rsidRDefault="000F3AB3" w:rsidP="00647DBF">
            <w:pPr>
              <w:keepLines/>
              <w:tabs>
                <w:tab w:val="left" w:pos="3060"/>
                <w:tab w:val="left" w:pos="6120"/>
              </w:tabs>
              <w:snapToGrid w:val="0"/>
              <w:spacing w:before="20" w:after="20"/>
              <w:rPr>
                <w:rFonts w:ascii="Gill Sans MT" w:eastAsia="MS Mincho" w:hAnsi="Gill Sans MT" w:cs="Times New Roman" w:hint="default"/>
                <w:b/>
                <w:sz w:val="16"/>
                <w:szCs w:val="14"/>
                <w:lang w:val="en-IE" w:eastAsia="x-none"/>
              </w:rPr>
            </w:pPr>
            <w:bookmarkStart w:id="15" w:name="_Hlk95123603"/>
            <w:bookmarkStart w:id="16" w:name="_Hlk157777515"/>
            <w:r w:rsidRPr="00674C58">
              <w:rPr>
                <w:rFonts w:ascii="Gill Sans MT" w:eastAsia="MS Mincho" w:hAnsi="Gill Sans MT" w:cs="Times New Roman" w:hint="default"/>
                <w:b/>
                <w:sz w:val="16"/>
                <w:szCs w:val="14"/>
                <w:lang w:val="en-IE" w:eastAsia="x-none"/>
              </w:rPr>
              <w:t>Indicator</w:t>
            </w:r>
          </w:p>
        </w:tc>
        <w:tc>
          <w:tcPr>
            <w:tcW w:w="2273" w:type="dxa"/>
            <w:tcBorders>
              <w:left w:val="nil"/>
              <w:right w:val="nil"/>
            </w:tcBorders>
            <w:hideMark/>
          </w:tcPr>
          <w:p w14:paraId="2197206E" w14:textId="77777777" w:rsidR="000F3AB3" w:rsidRPr="00674C58" w:rsidRDefault="000F3AB3" w:rsidP="00647DBF">
            <w:pPr>
              <w:keepLines/>
              <w:tabs>
                <w:tab w:val="left" w:pos="3060"/>
                <w:tab w:val="left" w:pos="6120"/>
              </w:tabs>
              <w:snapToGrid w:val="0"/>
              <w:spacing w:before="20" w:after="20"/>
              <w:rPr>
                <w:rFonts w:ascii="Gill Sans MT" w:eastAsia="MS Mincho" w:hAnsi="Gill Sans MT" w:cs="Times New Roman" w:hint="default"/>
                <w:b/>
                <w:sz w:val="16"/>
                <w:szCs w:val="14"/>
                <w:lang w:val="en-IE" w:eastAsia="x-none"/>
              </w:rPr>
            </w:pPr>
            <w:r w:rsidRPr="00674C58">
              <w:rPr>
                <w:rFonts w:ascii="Gill Sans MT" w:eastAsia="MS Mincho" w:hAnsi="Gill Sans MT" w:cs="Times New Roman" w:hint="default"/>
                <w:b/>
                <w:sz w:val="16"/>
                <w:szCs w:val="14"/>
                <w:lang w:val="en-IE" w:eastAsia="x-none"/>
              </w:rPr>
              <w:t>Europe</w:t>
            </w:r>
          </w:p>
        </w:tc>
        <w:tc>
          <w:tcPr>
            <w:tcW w:w="2273" w:type="dxa"/>
            <w:tcBorders>
              <w:left w:val="nil"/>
              <w:right w:val="nil"/>
            </w:tcBorders>
            <w:hideMark/>
          </w:tcPr>
          <w:p w14:paraId="3DC3F0B5" w14:textId="53379F08" w:rsidR="000F3AB3" w:rsidRPr="00674C58" w:rsidRDefault="000F3AB3" w:rsidP="00FC5299">
            <w:pPr>
              <w:keepLines/>
              <w:tabs>
                <w:tab w:val="left" w:pos="3060"/>
                <w:tab w:val="left" w:pos="6120"/>
              </w:tabs>
              <w:snapToGrid w:val="0"/>
              <w:spacing w:before="20" w:after="20"/>
              <w:rPr>
                <w:rFonts w:ascii="Gill Sans MT" w:eastAsia="MS Mincho" w:hAnsi="Gill Sans MT" w:cs="Times New Roman" w:hint="default"/>
                <w:b/>
                <w:sz w:val="16"/>
                <w:szCs w:val="14"/>
                <w:lang w:val="en-IE" w:eastAsia="x-none"/>
              </w:rPr>
            </w:pPr>
            <w:r w:rsidRPr="00674C58">
              <w:rPr>
                <w:rFonts w:ascii="Gill Sans MT" w:eastAsia="MS Mincho" w:hAnsi="Gill Sans MT" w:cs="Times New Roman" w:hint="default"/>
                <w:b/>
                <w:sz w:val="16"/>
                <w:szCs w:val="14"/>
                <w:lang w:val="en-IE" w:eastAsia="x-none"/>
              </w:rPr>
              <w:t>European Union</w:t>
            </w:r>
          </w:p>
        </w:tc>
        <w:tc>
          <w:tcPr>
            <w:tcW w:w="2273" w:type="dxa"/>
            <w:tcBorders>
              <w:left w:val="nil"/>
              <w:right w:val="nil"/>
            </w:tcBorders>
            <w:hideMark/>
          </w:tcPr>
          <w:p w14:paraId="20F613F1" w14:textId="77777777" w:rsidR="000F3AB3" w:rsidRPr="00674C58" w:rsidRDefault="000F3AB3" w:rsidP="00647DBF">
            <w:pPr>
              <w:keepLines/>
              <w:tabs>
                <w:tab w:val="left" w:pos="3060"/>
                <w:tab w:val="left" w:pos="6120"/>
              </w:tabs>
              <w:snapToGrid w:val="0"/>
              <w:spacing w:before="20" w:after="20"/>
              <w:rPr>
                <w:rFonts w:ascii="Gill Sans MT" w:eastAsia="MS Mincho" w:hAnsi="Gill Sans MT" w:cs="Times New Roman" w:hint="default"/>
                <w:b/>
                <w:sz w:val="16"/>
                <w:szCs w:val="14"/>
                <w:lang w:val="en-IE" w:eastAsia="x-none"/>
              </w:rPr>
            </w:pPr>
            <w:r w:rsidRPr="00674C58">
              <w:rPr>
                <w:rFonts w:ascii="Gill Sans MT" w:eastAsia="MS Mincho" w:hAnsi="Gill Sans MT" w:cs="Times New Roman" w:hint="default"/>
                <w:b/>
                <w:sz w:val="16"/>
                <w:szCs w:val="14"/>
                <w:lang w:val="en-IE" w:eastAsia="x-none"/>
              </w:rPr>
              <w:t>Top 3 countries in Europe</w:t>
            </w:r>
          </w:p>
        </w:tc>
      </w:tr>
      <w:tr w:rsidR="000F3AB3" w:rsidRPr="00FC3901" w14:paraId="1D7CF537" w14:textId="77777777" w:rsidTr="000F3AB3">
        <w:trPr>
          <w:cnfStyle w:val="000000100000" w:firstRow="0" w:lastRow="0" w:firstColumn="0" w:lastColumn="0" w:oddVBand="0" w:evenVBand="0" w:oddHBand="1" w:evenHBand="0" w:firstRowFirstColumn="0" w:firstRowLastColumn="0" w:lastRowFirstColumn="0" w:lastRowLastColumn="0"/>
          <w:trHeight w:val="19"/>
        </w:trPr>
        <w:tc>
          <w:tcPr>
            <w:tcW w:w="1611" w:type="dxa"/>
            <w:tcBorders>
              <w:top w:val="nil"/>
              <w:left w:val="nil"/>
              <w:bottom w:val="nil"/>
              <w:right w:val="nil"/>
            </w:tcBorders>
            <w:hideMark/>
          </w:tcPr>
          <w:p w14:paraId="76BAE2D0" w14:textId="77777777" w:rsidR="000F3AB3" w:rsidRPr="00674C58" w:rsidRDefault="000F3AB3" w:rsidP="00647DBF">
            <w:pPr>
              <w:keepLines/>
              <w:tabs>
                <w:tab w:val="left" w:pos="3060"/>
                <w:tab w:val="left" w:pos="6120"/>
              </w:tabs>
              <w:snapToGrid w:val="0"/>
              <w:rPr>
                <w:rFonts w:eastAsia="MS Mincho" w:cs="Times New Roman"/>
                <w:b/>
                <w:sz w:val="16"/>
                <w:szCs w:val="14"/>
                <w:lang w:val="en-IE" w:eastAsia="x-none"/>
              </w:rPr>
            </w:pPr>
            <w:r w:rsidRPr="00674C58">
              <w:rPr>
                <w:rFonts w:eastAsia="MS Mincho" w:cs="Times New Roman"/>
                <w:b/>
                <w:sz w:val="16"/>
                <w:szCs w:val="14"/>
                <w:lang w:val="en-IE" w:eastAsia="x-none"/>
              </w:rPr>
              <w:t xml:space="preserve">Organic farmland </w:t>
            </w:r>
          </w:p>
        </w:tc>
        <w:tc>
          <w:tcPr>
            <w:tcW w:w="2273" w:type="dxa"/>
            <w:tcBorders>
              <w:top w:val="nil"/>
              <w:left w:val="nil"/>
              <w:bottom w:val="nil"/>
              <w:right w:val="nil"/>
            </w:tcBorders>
            <w:hideMark/>
          </w:tcPr>
          <w:p w14:paraId="7A9C40F7"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18.5 million hectares (ha)</w:t>
            </w:r>
          </w:p>
        </w:tc>
        <w:tc>
          <w:tcPr>
            <w:tcW w:w="2273" w:type="dxa"/>
            <w:tcBorders>
              <w:top w:val="nil"/>
              <w:left w:val="nil"/>
              <w:bottom w:val="nil"/>
              <w:right w:val="nil"/>
            </w:tcBorders>
            <w:hideMark/>
          </w:tcPr>
          <w:p w14:paraId="57754A3A"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16.9 million ha</w:t>
            </w:r>
          </w:p>
        </w:tc>
        <w:tc>
          <w:tcPr>
            <w:tcW w:w="2273" w:type="dxa"/>
            <w:tcBorders>
              <w:top w:val="nil"/>
              <w:left w:val="nil"/>
              <w:bottom w:val="nil"/>
              <w:right w:val="nil"/>
            </w:tcBorders>
            <w:hideMark/>
          </w:tcPr>
          <w:p w14:paraId="49AD6EB5" w14:textId="77777777" w:rsidR="000F3AB3" w:rsidRPr="00FC3901" w:rsidRDefault="000F3AB3" w:rsidP="00647DBF">
            <w:pPr>
              <w:keepLines/>
              <w:tabs>
                <w:tab w:val="left" w:pos="3060"/>
                <w:tab w:val="left" w:pos="6120"/>
              </w:tabs>
              <w:snapToGrid w:val="0"/>
              <w:rPr>
                <w:rFonts w:eastAsia="MS Mincho" w:cs="Times New Roman"/>
                <w:sz w:val="16"/>
                <w:szCs w:val="14"/>
                <w:lang w:val="it-CH" w:eastAsia="x-none"/>
              </w:rPr>
            </w:pPr>
            <w:r w:rsidRPr="00FC3901">
              <w:rPr>
                <w:rFonts w:eastAsia="MS Mincho" w:cs="Times New Roman"/>
                <w:sz w:val="16"/>
                <w:szCs w:val="14"/>
                <w:lang w:val="it-CH" w:eastAsia="x-none"/>
              </w:rPr>
              <w:t xml:space="preserve">France (2.9 </w:t>
            </w:r>
            <w:proofErr w:type="spellStart"/>
            <w:r w:rsidRPr="00FC3901">
              <w:rPr>
                <w:rFonts w:eastAsia="MS Mincho" w:cs="Times New Roman"/>
                <w:sz w:val="16"/>
                <w:szCs w:val="14"/>
                <w:lang w:val="it-CH" w:eastAsia="x-none"/>
              </w:rPr>
              <w:t>million</w:t>
            </w:r>
            <w:proofErr w:type="spellEnd"/>
            <w:r w:rsidRPr="00FC3901">
              <w:rPr>
                <w:rFonts w:eastAsia="MS Mincho" w:cs="Times New Roman"/>
                <w:sz w:val="16"/>
                <w:szCs w:val="14"/>
                <w:lang w:val="it-CH" w:eastAsia="x-none"/>
              </w:rPr>
              <w:t xml:space="preserve"> ha); </w:t>
            </w:r>
            <w:proofErr w:type="spellStart"/>
            <w:r w:rsidRPr="00FC3901">
              <w:rPr>
                <w:rFonts w:eastAsia="MS Mincho" w:cs="Times New Roman"/>
                <w:sz w:val="16"/>
                <w:szCs w:val="14"/>
                <w:lang w:val="it-CH" w:eastAsia="x-none"/>
              </w:rPr>
              <w:t>Spain</w:t>
            </w:r>
            <w:proofErr w:type="spellEnd"/>
            <w:r w:rsidRPr="00FC3901">
              <w:rPr>
                <w:rFonts w:eastAsia="MS Mincho" w:cs="Times New Roman"/>
                <w:sz w:val="16"/>
                <w:szCs w:val="14"/>
                <w:lang w:val="it-CH" w:eastAsia="x-none"/>
              </w:rPr>
              <w:t xml:space="preserve"> (2.7 </w:t>
            </w:r>
            <w:proofErr w:type="spellStart"/>
            <w:r w:rsidRPr="00FC3901">
              <w:rPr>
                <w:rFonts w:eastAsia="MS Mincho" w:cs="Times New Roman"/>
                <w:sz w:val="16"/>
                <w:szCs w:val="14"/>
                <w:lang w:val="it-CH" w:eastAsia="x-none"/>
              </w:rPr>
              <w:t>million</w:t>
            </w:r>
            <w:proofErr w:type="spellEnd"/>
            <w:r w:rsidRPr="00FC3901">
              <w:rPr>
                <w:rFonts w:eastAsia="MS Mincho" w:cs="Times New Roman"/>
                <w:sz w:val="16"/>
                <w:szCs w:val="14"/>
                <w:lang w:val="it-CH" w:eastAsia="x-none"/>
              </w:rPr>
              <w:t xml:space="preserve"> ha); </w:t>
            </w:r>
            <w:proofErr w:type="spellStart"/>
            <w:r w:rsidRPr="00FC3901">
              <w:rPr>
                <w:rFonts w:eastAsia="MS Mincho" w:cs="Times New Roman"/>
                <w:sz w:val="16"/>
                <w:szCs w:val="14"/>
                <w:lang w:val="it-CH" w:eastAsia="x-none"/>
              </w:rPr>
              <w:t>Italy</w:t>
            </w:r>
            <w:proofErr w:type="spellEnd"/>
            <w:r w:rsidRPr="00FC3901">
              <w:rPr>
                <w:rFonts w:eastAsia="MS Mincho" w:cs="Times New Roman"/>
                <w:sz w:val="16"/>
                <w:szCs w:val="14"/>
                <w:lang w:val="it-CH" w:eastAsia="x-none"/>
              </w:rPr>
              <w:t xml:space="preserve"> (2.3 </w:t>
            </w:r>
            <w:proofErr w:type="spellStart"/>
            <w:r w:rsidRPr="00FC3901">
              <w:rPr>
                <w:rFonts w:eastAsia="MS Mincho" w:cs="Times New Roman"/>
                <w:sz w:val="16"/>
                <w:szCs w:val="14"/>
                <w:lang w:val="it-CH" w:eastAsia="x-none"/>
              </w:rPr>
              <w:t>million</w:t>
            </w:r>
            <w:proofErr w:type="spellEnd"/>
            <w:r w:rsidRPr="00FC3901">
              <w:rPr>
                <w:rFonts w:eastAsia="MS Mincho" w:cs="Times New Roman"/>
                <w:sz w:val="16"/>
                <w:szCs w:val="14"/>
                <w:lang w:val="it-CH" w:eastAsia="x-none"/>
              </w:rPr>
              <w:t xml:space="preserve"> ha)</w:t>
            </w:r>
          </w:p>
        </w:tc>
      </w:tr>
      <w:tr w:rsidR="000F3AB3" w:rsidRPr="00674C58" w14:paraId="113EFEB6" w14:textId="77777777" w:rsidTr="000F3AB3">
        <w:trPr>
          <w:cnfStyle w:val="000000010000" w:firstRow="0" w:lastRow="0" w:firstColumn="0" w:lastColumn="0" w:oddVBand="0" w:evenVBand="0" w:oddHBand="0" w:evenHBand="1" w:firstRowFirstColumn="0" w:firstRowLastColumn="0" w:lastRowFirstColumn="0" w:lastRowLastColumn="0"/>
          <w:trHeight w:val="19"/>
        </w:trPr>
        <w:tc>
          <w:tcPr>
            <w:tcW w:w="1611" w:type="dxa"/>
            <w:tcBorders>
              <w:top w:val="nil"/>
              <w:left w:val="nil"/>
              <w:bottom w:val="nil"/>
            </w:tcBorders>
            <w:hideMark/>
          </w:tcPr>
          <w:p w14:paraId="5DD80231" w14:textId="77777777" w:rsidR="000F3AB3" w:rsidRPr="00674C58" w:rsidRDefault="000F3AB3" w:rsidP="00647DBF">
            <w:pPr>
              <w:keepLines/>
              <w:tabs>
                <w:tab w:val="left" w:pos="3060"/>
                <w:tab w:val="left" w:pos="6120"/>
              </w:tabs>
              <w:snapToGrid w:val="0"/>
              <w:rPr>
                <w:rFonts w:eastAsia="MS Mincho" w:cs="Times New Roman"/>
                <w:b/>
                <w:sz w:val="16"/>
                <w:szCs w:val="14"/>
                <w:lang w:val="en-IE" w:eastAsia="x-none"/>
              </w:rPr>
            </w:pPr>
            <w:r w:rsidRPr="00674C58">
              <w:rPr>
                <w:rFonts w:eastAsia="MS Mincho" w:cs="Times New Roman"/>
                <w:b/>
                <w:sz w:val="16"/>
                <w:szCs w:val="14"/>
                <w:lang w:val="en-IE" w:eastAsia="x-none"/>
              </w:rPr>
              <w:t xml:space="preserve">Organic share </w:t>
            </w:r>
            <w:r w:rsidRPr="00674C58">
              <w:rPr>
                <w:rFonts w:eastAsia="MS Mincho" w:cs="Times New Roman"/>
                <w:b/>
                <w:sz w:val="16"/>
                <w:szCs w:val="14"/>
                <w:lang w:val="en-IE" w:eastAsia="x-none"/>
              </w:rPr>
              <w:br/>
              <w:t>of total farmland</w:t>
            </w:r>
          </w:p>
        </w:tc>
        <w:tc>
          <w:tcPr>
            <w:tcW w:w="2273" w:type="dxa"/>
            <w:tcBorders>
              <w:top w:val="nil"/>
              <w:bottom w:val="nil"/>
            </w:tcBorders>
            <w:hideMark/>
          </w:tcPr>
          <w:p w14:paraId="42D8E904"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3.7 %</w:t>
            </w:r>
          </w:p>
        </w:tc>
        <w:tc>
          <w:tcPr>
            <w:tcW w:w="2273" w:type="dxa"/>
            <w:tcBorders>
              <w:top w:val="nil"/>
              <w:bottom w:val="nil"/>
            </w:tcBorders>
            <w:hideMark/>
          </w:tcPr>
          <w:p w14:paraId="167028C7"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10.4 %</w:t>
            </w:r>
          </w:p>
        </w:tc>
        <w:tc>
          <w:tcPr>
            <w:tcW w:w="2273" w:type="dxa"/>
            <w:tcBorders>
              <w:top w:val="nil"/>
              <w:bottom w:val="nil"/>
              <w:right w:val="nil"/>
            </w:tcBorders>
            <w:hideMark/>
          </w:tcPr>
          <w:p w14:paraId="67D92A77" w14:textId="7CDC6C1A"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Liechtenstein (43.0</w:t>
            </w:r>
            <w:r w:rsidR="00541306" w:rsidRPr="00674C58">
              <w:rPr>
                <w:rFonts w:eastAsia="MS Mincho" w:cs="Times New Roman"/>
                <w:sz w:val="16"/>
                <w:szCs w:val="14"/>
                <w:lang w:val="en-IE" w:eastAsia="x-none"/>
              </w:rPr>
              <w:t xml:space="preserve"> </w:t>
            </w:r>
            <w:r w:rsidRPr="00674C58">
              <w:rPr>
                <w:rFonts w:eastAsia="MS Mincho" w:cs="Times New Roman"/>
                <w:sz w:val="16"/>
                <w:szCs w:val="14"/>
                <w:lang w:val="en-IE" w:eastAsia="x-none"/>
              </w:rPr>
              <w:t>%); Austria (27.5</w:t>
            </w:r>
            <w:r w:rsidR="00541306" w:rsidRPr="00674C58">
              <w:rPr>
                <w:rFonts w:eastAsia="MS Mincho" w:cs="Times New Roman"/>
                <w:sz w:val="16"/>
                <w:szCs w:val="14"/>
                <w:lang w:val="en-IE" w:eastAsia="x-none"/>
              </w:rPr>
              <w:t xml:space="preserve"> </w:t>
            </w:r>
            <w:r w:rsidRPr="00674C58">
              <w:rPr>
                <w:rFonts w:eastAsia="MS Mincho" w:cs="Times New Roman"/>
                <w:sz w:val="16"/>
                <w:szCs w:val="14"/>
                <w:lang w:val="en-IE" w:eastAsia="x-none"/>
              </w:rPr>
              <w:t>%); Estonia (23.4</w:t>
            </w:r>
            <w:r w:rsidR="00541306" w:rsidRPr="00674C58">
              <w:rPr>
                <w:rFonts w:eastAsia="MS Mincho" w:cs="Times New Roman"/>
                <w:sz w:val="16"/>
                <w:szCs w:val="14"/>
                <w:lang w:val="en-IE" w:eastAsia="x-none"/>
              </w:rPr>
              <w:t xml:space="preserve"> </w:t>
            </w:r>
            <w:r w:rsidRPr="00674C58">
              <w:rPr>
                <w:rFonts w:eastAsia="MS Mincho" w:cs="Times New Roman"/>
                <w:sz w:val="16"/>
                <w:szCs w:val="14"/>
                <w:lang w:val="en-IE" w:eastAsia="x-none"/>
              </w:rPr>
              <w:t>%)</w:t>
            </w:r>
          </w:p>
        </w:tc>
      </w:tr>
      <w:tr w:rsidR="000F3AB3" w:rsidRPr="00FC3901" w14:paraId="729FAB61" w14:textId="77777777" w:rsidTr="000F3AB3">
        <w:trPr>
          <w:cnfStyle w:val="000000100000" w:firstRow="0" w:lastRow="0" w:firstColumn="0" w:lastColumn="0" w:oddVBand="0" w:evenVBand="0" w:oddHBand="1" w:evenHBand="0" w:firstRowFirstColumn="0" w:firstRowLastColumn="0" w:lastRowFirstColumn="0" w:lastRowLastColumn="0"/>
          <w:trHeight w:val="19"/>
        </w:trPr>
        <w:tc>
          <w:tcPr>
            <w:tcW w:w="1611" w:type="dxa"/>
            <w:tcBorders>
              <w:top w:val="nil"/>
              <w:left w:val="nil"/>
              <w:bottom w:val="nil"/>
              <w:right w:val="nil"/>
            </w:tcBorders>
            <w:hideMark/>
          </w:tcPr>
          <w:p w14:paraId="38BE39AD" w14:textId="77777777" w:rsidR="000F3AB3" w:rsidRPr="00674C58" w:rsidRDefault="000F3AB3" w:rsidP="00647DBF">
            <w:pPr>
              <w:keepLines/>
              <w:tabs>
                <w:tab w:val="left" w:pos="3060"/>
                <w:tab w:val="left" w:pos="6120"/>
              </w:tabs>
              <w:snapToGrid w:val="0"/>
              <w:rPr>
                <w:rFonts w:eastAsia="MS Mincho" w:cs="Times New Roman"/>
                <w:b/>
                <w:sz w:val="16"/>
                <w:szCs w:val="14"/>
                <w:lang w:val="en-IE" w:eastAsia="x-none"/>
              </w:rPr>
            </w:pPr>
            <w:r w:rsidRPr="00674C58">
              <w:rPr>
                <w:rFonts w:eastAsia="MS Mincho" w:cs="Times New Roman"/>
                <w:b/>
                <w:sz w:val="16"/>
                <w:szCs w:val="14"/>
                <w:lang w:val="en-IE" w:eastAsia="x-none"/>
              </w:rPr>
              <w:t xml:space="preserve">Increase in organic farmland 2021-2022 </w:t>
            </w:r>
          </w:p>
        </w:tc>
        <w:tc>
          <w:tcPr>
            <w:tcW w:w="2273" w:type="dxa"/>
            <w:tcBorders>
              <w:top w:val="nil"/>
              <w:left w:val="nil"/>
              <w:bottom w:val="nil"/>
              <w:right w:val="nil"/>
            </w:tcBorders>
            <w:hideMark/>
          </w:tcPr>
          <w:p w14:paraId="74B7661B"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0.19 million ha</w:t>
            </w:r>
          </w:p>
        </w:tc>
        <w:tc>
          <w:tcPr>
            <w:tcW w:w="2273" w:type="dxa"/>
            <w:tcBorders>
              <w:top w:val="nil"/>
              <w:left w:val="nil"/>
              <w:bottom w:val="nil"/>
              <w:right w:val="nil"/>
            </w:tcBorders>
            <w:hideMark/>
          </w:tcPr>
          <w:p w14:paraId="3AD505DB"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0.83 million ha</w:t>
            </w:r>
          </w:p>
        </w:tc>
        <w:tc>
          <w:tcPr>
            <w:tcW w:w="2273" w:type="dxa"/>
            <w:tcBorders>
              <w:top w:val="nil"/>
              <w:left w:val="nil"/>
              <w:bottom w:val="nil"/>
              <w:right w:val="nil"/>
            </w:tcBorders>
            <w:hideMark/>
          </w:tcPr>
          <w:p w14:paraId="194E79B4" w14:textId="77777777" w:rsidR="000F3AB3" w:rsidRPr="00FC3901" w:rsidRDefault="000F3AB3" w:rsidP="00647DBF">
            <w:pPr>
              <w:keepLines/>
              <w:tabs>
                <w:tab w:val="left" w:pos="3060"/>
                <w:tab w:val="left" w:pos="6120"/>
              </w:tabs>
              <w:snapToGrid w:val="0"/>
              <w:rPr>
                <w:rFonts w:eastAsia="MS Mincho" w:cs="Times New Roman"/>
                <w:sz w:val="16"/>
                <w:szCs w:val="14"/>
                <w:lang w:val="it-CH" w:eastAsia="x-none"/>
              </w:rPr>
            </w:pPr>
            <w:proofErr w:type="spellStart"/>
            <w:r w:rsidRPr="00FC3901">
              <w:rPr>
                <w:rFonts w:eastAsia="MS Mincho" w:cs="Times New Roman"/>
                <w:sz w:val="16"/>
                <w:szCs w:val="14"/>
                <w:lang w:val="it-CH" w:eastAsia="x-none"/>
              </w:rPr>
              <w:t>Greece</w:t>
            </w:r>
            <w:proofErr w:type="spellEnd"/>
            <w:r w:rsidRPr="00FC3901">
              <w:rPr>
                <w:rFonts w:eastAsia="MS Mincho" w:cs="Times New Roman"/>
                <w:sz w:val="16"/>
                <w:szCs w:val="14"/>
                <w:lang w:val="it-CH" w:eastAsia="x-none"/>
              </w:rPr>
              <w:t xml:space="preserve"> (+0.39 </w:t>
            </w:r>
            <w:proofErr w:type="spellStart"/>
            <w:r w:rsidRPr="00FC3901">
              <w:rPr>
                <w:rFonts w:eastAsia="MS Mincho" w:cs="Times New Roman"/>
                <w:sz w:val="16"/>
                <w:szCs w:val="14"/>
                <w:lang w:val="it-CH" w:eastAsia="x-none"/>
              </w:rPr>
              <w:t>million</w:t>
            </w:r>
            <w:proofErr w:type="spellEnd"/>
            <w:r w:rsidRPr="00FC3901">
              <w:rPr>
                <w:rFonts w:eastAsia="MS Mincho" w:cs="Times New Roman"/>
                <w:sz w:val="16"/>
                <w:szCs w:val="14"/>
                <w:lang w:val="it-CH" w:eastAsia="x-none"/>
              </w:rPr>
              <w:t xml:space="preserve"> ha); </w:t>
            </w:r>
            <w:proofErr w:type="spellStart"/>
            <w:r w:rsidRPr="00FC3901">
              <w:rPr>
                <w:rFonts w:eastAsia="MS Mincho" w:cs="Times New Roman"/>
                <w:sz w:val="16"/>
                <w:szCs w:val="14"/>
                <w:lang w:val="it-CH" w:eastAsia="x-none"/>
              </w:rPr>
              <w:t>Italy</w:t>
            </w:r>
            <w:proofErr w:type="spellEnd"/>
            <w:r w:rsidRPr="00FC3901">
              <w:rPr>
                <w:rFonts w:eastAsia="MS Mincho" w:cs="Times New Roman"/>
                <w:sz w:val="16"/>
                <w:szCs w:val="14"/>
                <w:lang w:val="it-CH" w:eastAsia="x-none"/>
              </w:rPr>
              <w:t xml:space="preserve"> (0.16 </w:t>
            </w:r>
            <w:proofErr w:type="spellStart"/>
            <w:r w:rsidRPr="00FC3901">
              <w:rPr>
                <w:rFonts w:eastAsia="MS Mincho" w:cs="Times New Roman"/>
                <w:sz w:val="16"/>
                <w:szCs w:val="14"/>
                <w:lang w:val="it-CH" w:eastAsia="x-none"/>
              </w:rPr>
              <w:t>million</w:t>
            </w:r>
            <w:proofErr w:type="spellEnd"/>
            <w:r w:rsidRPr="00FC3901">
              <w:rPr>
                <w:rFonts w:eastAsia="MS Mincho" w:cs="Times New Roman"/>
                <w:sz w:val="16"/>
                <w:szCs w:val="14"/>
                <w:lang w:val="it-CH" w:eastAsia="x-none"/>
              </w:rPr>
              <w:t xml:space="preserve"> ha); France (+0.10 </w:t>
            </w:r>
            <w:proofErr w:type="spellStart"/>
            <w:r w:rsidRPr="00FC3901">
              <w:rPr>
                <w:rFonts w:eastAsia="MS Mincho" w:cs="Times New Roman"/>
                <w:sz w:val="16"/>
                <w:szCs w:val="14"/>
                <w:lang w:val="it-CH" w:eastAsia="x-none"/>
              </w:rPr>
              <w:t>million</w:t>
            </w:r>
            <w:proofErr w:type="spellEnd"/>
            <w:r w:rsidRPr="00FC3901">
              <w:rPr>
                <w:rFonts w:eastAsia="MS Mincho" w:cs="Times New Roman"/>
                <w:sz w:val="16"/>
                <w:szCs w:val="14"/>
                <w:lang w:val="it-CH" w:eastAsia="x-none"/>
              </w:rPr>
              <w:t xml:space="preserve"> ha)</w:t>
            </w:r>
          </w:p>
        </w:tc>
      </w:tr>
      <w:tr w:rsidR="000F3AB3" w:rsidRPr="00674C58" w14:paraId="7538A29B" w14:textId="77777777" w:rsidTr="000F3AB3">
        <w:trPr>
          <w:cnfStyle w:val="000000010000" w:firstRow="0" w:lastRow="0" w:firstColumn="0" w:lastColumn="0" w:oddVBand="0" w:evenVBand="0" w:oddHBand="0" w:evenHBand="1" w:firstRowFirstColumn="0" w:firstRowLastColumn="0" w:lastRowFirstColumn="0" w:lastRowLastColumn="0"/>
          <w:trHeight w:val="19"/>
        </w:trPr>
        <w:tc>
          <w:tcPr>
            <w:tcW w:w="1611" w:type="dxa"/>
            <w:tcBorders>
              <w:top w:val="nil"/>
              <w:left w:val="nil"/>
              <w:bottom w:val="nil"/>
            </w:tcBorders>
            <w:hideMark/>
          </w:tcPr>
          <w:p w14:paraId="727EA2E5" w14:textId="77777777" w:rsidR="000F3AB3" w:rsidRPr="00674C58" w:rsidRDefault="000F3AB3" w:rsidP="00647DBF">
            <w:pPr>
              <w:keepLines/>
              <w:tabs>
                <w:tab w:val="left" w:pos="3060"/>
                <w:tab w:val="left" w:pos="6120"/>
              </w:tabs>
              <w:snapToGrid w:val="0"/>
              <w:rPr>
                <w:rFonts w:eastAsia="MS Mincho" w:cs="Times New Roman"/>
                <w:b/>
                <w:sz w:val="16"/>
                <w:szCs w:val="14"/>
                <w:lang w:val="en-IE" w:eastAsia="x-none"/>
              </w:rPr>
            </w:pPr>
            <w:r w:rsidRPr="00674C58">
              <w:rPr>
                <w:rFonts w:eastAsia="MS Mincho" w:cs="Times New Roman"/>
                <w:b/>
                <w:sz w:val="16"/>
                <w:szCs w:val="14"/>
                <w:lang w:val="en-IE" w:eastAsia="x-none"/>
              </w:rPr>
              <w:t xml:space="preserve">%-Increase in organic farmland </w:t>
            </w:r>
          </w:p>
        </w:tc>
        <w:tc>
          <w:tcPr>
            <w:tcW w:w="2273" w:type="dxa"/>
            <w:tcBorders>
              <w:top w:val="nil"/>
              <w:bottom w:val="nil"/>
            </w:tcBorders>
            <w:hideMark/>
          </w:tcPr>
          <w:p w14:paraId="7F3C125D" w14:textId="144D7E95"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1.0</w:t>
            </w:r>
            <w:r w:rsidR="0032562E" w:rsidRPr="00674C58">
              <w:rPr>
                <w:rFonts w:eastAsia="MS Mincho" w:cs="Times New Roman"/>
                <w:sz w:val="16"/>
                <w:szCs w:val="14"/>
                <w:lang w:val="en-IE" w:eastAsia="x-none"/>
              </w:rPr>
              <w:t xml:space="preserve"> </w:t>
            </w:r>
            <w:r w:rsidRPr="00674C58">
              <w:rPr>
                <w:rFonts w:eastAsia="MS Mincho" w:cs="Times New Roman"/>
                <w:sz w:val="16"/>
                <w:szCs w:val="14"/>
                <w:lang w:val="en-IE" w:eastAsia="x-none"/>
              </w:rPr>
              <w:t>%</w:t>
            </w:r>
          </w:p>
        </w:tc>
        <w:tc>
          <w:tcPr>
            <w:tcW w:w="2273" w:type="dxa"/>
            <w:tcBorders>
              <w:top w:val="nil"/>
              <w:bottom w:val="nil"/>
            </w:tcBorders>
            <w:hideMark/>
          </w:tcPr>
          <w:p w14:paraId="3E997EA2" w14:textId="7BFDE92D"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5.1</w:t>
            </w:r>
            <w:r w:rsidR="0032562E" w:rsidRPr="00674C58">
              <w:rPr>
                <w:rFonts w:eastAsia="MS Mincho" w:cs="Times New Roman"/>
                <w:sz w:val="16"/>
                <w:szCs w:val="14"/>
                <w:lang w:val="en-IE" w:eastAsia="x-none"/>
              </w:rPr>
              <w:t xml:space="preserve"> </w:t>
            </w:r>
            <w:r w:rsidRPr="00674C58">
              <w:rPr>
                <w:rFonts w:eastAsia="MS Mincho" w:cs="Times New Roman"/>
                <w:sz w:val="16"/>
                <w:szCs w:val="14"/>
                <w:lang w:val="en-IE" w:eastAsia="x-none"/>
              </w:rPr>
              <w:t>%</w:t>
            </w:r>
          </w:p>
        </w:tc>
        <w:tc>
          <w:tcPr>
            <w:tcW w:w="2273" w:type="dxa"/>
            <w:tcBorders>
              <w:top w:val="nil"/>
              <w:bottom w:val="nil"/>
              <w:right w:val="nil"/>
            </w:tcBorders>
            <w:hideMark/>
          </w:tcPr>
          <w:p w14:paraId="219BE8A4" w14:textId="1E201AA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Greece (+73.0</w:t>
            </w:r>
            <w:r w:rsidR="00541306" w:rsidRPr="00674C58">
              <w:rPr>
                <w:rFonts w:eastAsia="MS Mincho" w:cs="Times New Roman"/>
                <w:sz w:val="16"/>
                <w:szCs w:val="14"/>
                <w:lang w:val="en-IE" w:eastAsia="x-none"/>
              </w:rPr>
              <w:t xml:space="preserve"> </w:t>
            </w:r>
            <w:r w:rsidRPr="00674C58">
              <w:rPr>
                <w:rFonts w:eastAsia="MS Mincho" w:cs="Times New Roman"/>
                <w:sz w:val="16"/>
                <w:szCs w:val="14"/>
                <w:lang w:val="en-IE" w:eastAsia="x-none"/>
              </w:rPr>
              <w:t>%); Kosovo (+55.2</w:t>
            </w:r>
            <w:r w:rsidR="00541306" w:rsidRPr="00674C58">
              <w:rPr>
                <w:rFonts w:eastAsia="MS Mincho" w:cs="Times New Roman"/>
                <w:sz w:val="16"/>
                <w:szCs w:val="14"/>
                <w:lang w:val="en-IE" w:eastAsia="x-none"/>
              </w:rPr>
              <w:t xml:space="preserve"> </w:t>
            </w:r>
            <w:r w:rsidRPr="00674C58">
              <w:rPr>
                <w:rFonts w:eastAsia="MS Mincho" w:cs="Times New Roman"/>
                <w:sz w:val="16"/>
                <w:szCs w:val="14"/>
                <w:lang w:val="en-IE" w:eastAsia="x-none"/>
              </w:rPr>
              <w:t>%), Bulgaria (+28.0</w:t>
            </w:r>
            <w:r w:rsidR="00541306" w:rsidRPr="00674C58">
              <w:rPr>
                <w:rFonts w:eastAsia="MS Mincho" w:cs="Times New Roman"/>
                <w:sz w:val="16"/>
                <w:szCs w:val="14"/>
                <w:lang w:val="en-IE" w:eastAsia="x-none"/>
              </w:rPr>
              <w:t xml:space="preserve"> </w:t>
            </w:r>
            <w:r w:rsidRPr="00674C58">
              <w:rPr>
                <w:rFonts w:eastAsia="MS Mincho" w:cs="Times New Roman"/>
                <w:sz w:val="16"/>
                <w:szCs w:val="14"/>
                <w:lang w:val="en-IE" w:eastAsia="x-none"/>
              </w:rPr>
              <w:t>%)</w:t>
            </w:r>
          </w:p>
        </w:tc>
      </w:tr>
      <w:tr w:rsidR="000F3AB3" w:rsidRPr="00FC3901" w14:paraId="001ACB65" w14:textId="77777777" w:rsidTr="000F3AB3">
        <w:trPr>
          <w:cnfStyle w:val="000000100000" w:firstRow="0" w:lastRow="0" w:firstColumn="0" w:lastColumn="0" w:oddVBand="0" w:evenVBand="0" w:oddHBand="1" w:evenHBand="0" w:firstRowFirstColumn="0" w:firstRowLastColumn="0" w:lastRowFirstColumn="0" w:lastRowLastColumn="0"/>
          <w:trHeight w:val="19"/>
        </w:trPr>
        <w:tc>
          <w:tcPr>
            <w:tcW w:w="1611" w:type="dxa"/>
            <w:tcBorders>
              <w:top w:val="nil"/>
              <w:left w:val="nil"/>
              <w:bottom w:val="nil"/>
              <w:right w:val="nil"/>
            </w:tcBorders>
            <w:hideMark/>
          </w:tcPr>
          <w:p w14:paraId="18C31C02" w14:textId="77777777" w:rsidR="000F3AB3" w:rsidRPr="00674C58" w:rsidRDefault="000F3AB3" w:rsidP="00647DBF">
            <w:pPr>
              <w:keepLines/>
              <w:tabs>
                <w:tab w:val="left" w:pos="3060"/>
                <w:tab w:val="left" w:pos="6120"/>
              </w:tabs>
              <w:snapToGrid w:val="0"/>
              <w:rPr>
                <w:rFonts w:eastAsia="MS Mincho" w:cs="Times New Roman"/>
                <w:b/>
                <w:sz w:val="16"/>
                <w:szCs w:val="14"/>
                <w:lang w:val="en-IE" w:eastAsia="x-none"/>
              </w:rPr>
            </w:pPr>
            <w:r w:rsidRPr="00674C58">
              <w:rPr>
                <w:rFonts w:eastAsia="MS Mincho" w:cs="Times New Roman"/>
                <w:b/>
                <w:sz w:val="16"/>
                <w:szCs w:val="14"/>
                <w:lang w:val="en-IE" w:eastAsia="x-none"/>
              </w:rPr>
              <w:t>Land use</w:t>
            </w:r>
          </w:p>
        </w:tc>
        <w:tc>
          <w:tcPr>
            <w:tcW w:w="2273" w:type="dxa"/>
            <w:tcBorders>
              <w:top w:val="nil"/>
              <w:left w:val="nil"/>
              <w:bottom w:val="nil"/>
              <w:right w:val="nil"/>
            </w:tcBorders>
            <w:hideMark/>
          </w:tcPr>
          <w:p w14:paraId="10162A68" w14:textId="77777777" w:rsidR="000F3AB3" w:rsidRPr="00FC3901" w:rsidRDefault="000F3AB3" w:rsidP="00647DBF">
            <w:pPr>
              <w:keepLines/>
              <w:tabs>
                <w:tab w:val="left" w:pos="3060"/>
                <w:tab w:val="left" w:pos="6120"/>
              </w:tabs>
              <w:snapToGrid w:val="0"/>
              <w:rPr>
                <w:rFonts w:eastAsia="MS Mincho" w:cs="Times New Roman"/>
                <w:sz w:val="16"/>
                <w:szCs w:val="14"/>
                <w:lang w:val="fr-CH" w:eastAsia="x-none"/>
              </w:rPr>
            </w:pPr>
            <w:r w:rsidRPr="00FC3901">
              <w:rPr>
                <w:rFonts w:eastAsia="MS Mincho" w:cs="Times New Roman"/>
                <w:sz w:val="16"/>
                <w:szCs w:val="14"/>
                <w:lang w:val="fr-CH" w:eastAsia="x-none"/>
              </w:rPr>
              <w:t xml:space="preserve">Arable </w:t>
            </w:r>
            <w:proofErr w:type="spellStart"/>
            <w:proofErr w:type="gramStart"/>
            <w:r w:rsidRPr="00FC3901">
              <w:rPr>
                <w:rFonts w:eastAsia="MS Mincho" w:cs="Times New Roman"/>
                <w:sz w:val="16"/>
                <w:szCs w:val="14"/>
                <w:lang w:val="fr-CH" w:eastAsia="x-none"/>
              </w:rPr>
              <w:t>crops</w:t>
            </w:r>
            <w:proofErr w:type="spellEnd"/>
            <w:r w:rsidRPr="00FC3901">
              <w:rPr>
                <w:rFonts w:eastAsia="MS Mincho" w:cs="Times New Roman"/>
                <w:sz w:val="16"/>
                <w:szCs w:val="14"/>
                <w:lang w:val="fr-CH" w:eastAsia="x-none"/>
              </w:rPr>
              <w:t>:</w:t>
            </w:r>
            <w:proofErr w:type="gramEnd"/>
            <w:r w:rsidRPr="00FC3901">
              <w:rPr>
                <w:rFonts w:eastAsia="MS Mincho" w:cs="Times New Roman"/>
                <w:sz w:val="16"/>
                <w:szCs w:val="14"/>
                <w:lang w:val="fr-CH" w:eastAsia="x-none"/>
              </w:rPr>
              <w:t xml:space="preserve"> 8.4 million ha; Permanent </w:t>
            </w:r>
            <w:proofErr w:type="spellStart"/>
            <w:r w:rsidRPr="00FC3901">
              <w:rPr>
                <w:rFonts w:eastAsia="MS Mincho" w:cs="Times New Roman"/>
                <w:sz w:val="16"/>
                <w:szCs w:val="14"/>
                <w:lang w:val="fr-CH" w:eastAsia="x-none"/>
              </w:rPr>
              <w:t>crops</w:t>
            </w:r>
            <w:proofErr w:type="spellEnd"/>
            <w:r w:rsidRPr="00FC3901">
              <w:rPr>
                <w:rFonts w:eastAsia="MS Mincho" w:cs="Times New Roman"/>
                <w:sz w:val="16"/>
                <w:szCs w:val="14"/>
                <w:lang w:val="fr-CH" w:eastAsia="x-none"/>
              </w:rPr>
              <w:t xml:space="preserve">: 2.4 million ha; Permanent </w:t>
            </w:r>
            <w:proofErr w:type="spellStart"/>
            <w:r w:rsidRPr="00FC3901">
              <w:rPr>
                <w:rFonts w:eastAsia="MS Mincho" w:cs="Times New Roman"/>
                <w:sz w:val="16"/>
                <w:szCs w:val="14"/>
                <w:lang w:val="fr-CH" w:eastAsia="x-none"/>
              </w:rPr>
              <w:t>grassland</w:t>
            </w:r>
            <w:proofErr w:type="spellEnd"/>
            <w:r w:rsidRPr="00FC3901">
              <w:rPr>
                <w:rFonts w:eastAsia="MS Mincho" w:cs="Times New Roman"/>
                <w:sz w:val="16"/>
                <w:szCs w:val="14"/>
                <w:lang w:val="fr-CH" w:eastAsia="x-none"/>
              </w:rPr>
              <w:t>: 7.4 million ha</w:t>
            </w:r>
          </w:p>
        </w:tc>
        <w:tc>
          <w:tcPr>
            <w:tcW w:w="2273" w:type="dxa"/>
            <w:tcBorders>
              <w:top w:val="nil"/>
              <w:left w:val="nil"/>
              <w:bottom w:val="nil"/>
              <w:right w:val="nil"/>
            </w:tcBorders>
            <w:hideMark/>
          </w:tcPr>
          <w:p w14:paraId="3D659BAB" w14:textId="77777777" w:rsidR="000F3AB3" w:rsidRPr="00FC3901" w:rsidRDefault="000F3AB3" w:rsidP="00647DBF">
            <w:pPr>
              <w:keepLines/>
              <w:tabs>
                <w:tab w:val="left" w:pos="3060"/>
                <w:tab w:val="left" w:pos="6120"/>
              </w:tabs>
              <w:snapToGrid w:val="0"/>
              <w:rPr>
                <w:rFonts w:eastAsia="MS Mincho" w:cs="Times New Roman"/>
                <w:sz w:val="16"/>
                <w:szCs w:val="14"/>
                <w:lang w:val="fr-CH" w:eastAsia="x-none"/>
              </w:rPr>
            </w:pPr>
            <w:r w:rsidRPr="00FC3901">
              <w:rPr>
                <w:rFonts w:eastAsia="MS Mincho" w:cs="Times New Roman"/>
                <w:sz w:val="16"/>
                <w:szCs w:val="14"/>
                <w:lang w:val="fr-CH" w:eastAsia="x-none"/>
              </w:rPr>
              <w:t xml:space="preserve">Arable </w:t>
            </w:r>
            <w:proofErr w:type="spellStart"/>
            <w:proofErr w:type="gramStart"/>
            <w:r w:rsidRPr="00FC3901">
              <w:rPr>
                <w:rFonts w:eastAsia="MS Mincho" w:cs="Times New Roman"/>
                <w:sz w:val="16"/>
                <w:szCs w:val="14"/>
                <w:lang w:val="fr-CH" w:eastAsia="x-none"/>
              </w:rPr>
              <w:t>crops</w:t>
            </w:r>
            <w:proofErr w:type="spellEnd"/>
            <w:r w:rsidRPr="00FC3901">
              <w:rPr>
                <w:rFonts w:eastAsia="MS Mincho" w:cs="Times New Roman"/>
                <w:sz w:val="16"/>
                <w:szCs w:val="14"/>
                <w:lang w:val="fr-CH" w:eastAsia="x-none"/>
              </w:rPr>
              <w:t>:</w:t>
            </w:r>
            <w:proofErr w:type="gramEnd"/>
            <w:r w:rsidRPr="00FC3901">
              <w:rPr>
                <w:rFonts w:eastAsia="MS Mincho" w:cs="Times New Roman"/>
                <w:sz w:val="16"/>
                <w:szCs w:val="14"/>
                <w:lang w:val="fr-CH" w:eastAsia="x-none"/>
              </w:rPr>
              <w:t xml:space="preserve"> 7.6 million ha</w:t>
            </w:r>
          </w:p>
          <w:p w14:paraId="7E11B853" w14:textId="77777777" w:rsidR="000F3AB3" w:rsidRPr="00FC3901" w:rsidRDefault="000F3AB3" w:rsidP="00647DBF">
            <w:pPr>
              <w:keepLines/>
              <w:tabs>
                <w:tab w:val="left" w:pos="3060"/>
                <w:tab w:val="left" w:pos="6120"/>
              </w:tabs>
              <w:snapToGrid w:val="0"/>
              <w:rPr>
                <w:rFonts w:eastAsia="MS Mincho" w:cs="Times New Roman"/>
                <w:sz w:val="16"/>
                <w:szCs w:val="14"/>
                <w:lang w:val="fr-CH" w:eastAsia="x-none"/>
              </w:rPr>
            </w:pPr>
            <w:r w:rsidRPr="00FC3901">
              <w:rPr>
                <w:rFonts w:eastAsia="MS Mincho" w:cs="Times New Roman"/>
                <w:sz w:val="16"/>
                <w:szCs w:val="14"/>
                <w:lang w:val="fr-CH" w:eastAsia="x-none"/>
              </w:rPr>
              <w:t xml:space="preserve">Permanent </w:t>
            </w:r>
            <w:proofErr w:type="spellStart"/>
            <w:r w:rsidRPr="00FC3901">
              <w:rPr>
                <w:rFonts w:eastAsia="MS Mincho" w:cs="Times New Roman"/>
                <w:sz w:val="16"/>
                <w:szCs w:val="14"/>
                <w:lang w:val="fr-CH" w:eastAsia="x-none"/>
              </w:rPr>
              <w:t>crops</w:t>
            </w:r>
            <w:proofErr w:type="spellEnd"/>
            <w:r w:rsidRPr="00FC3901">
              <w:rPr>
                <w:rFonts w:eastAsia="MS Mincho" w:cs="Times New Roman"/>
                <w:sz w:val="16"/>
                <w:szCs w:val="14"/>
                <w:lang w:val="fr-CH" w:eastAsia="x-none"/>
              </w:rPr>
              <w:t xml:space="preserve"> 2.2 million ha</w:t>
            </w:r>
          </w:p>
          <w:p w14:paraId="08D933C1" w14:textId="77777777" w:rsidR="000F3AB3" w:rsidRPr="00FC3901" w:rsidRDefault="000F3AB3" w:rsidP="00647DBF">
            <w:pPr>
              <w:keepLines/>
              <w:tabs>
                <w:tab w:val="left" w:pos="3060"/>
                <w:tab w:val="left" w:pos="6120"/>
              </w:tabs>
              <w:snapToGrid w:val="0"/>
              <w:rPr>
                <w:rFonts w:eastAsia="MS Mincho" w:cs="Times New Roman"/>
                <w:sz w:val="16"/>
                <w:szCs w:val="14"/>
                <w:lang w:val="fr-CH" w:eastAsia="x-none"/>
              </w:rPr>
            </w:pPr>
            <w:r w:rsidRPr="00FC3901">
              <w:rPr>
                <w:rFonts w:eastAsia="MS Mincho" w:cs="Times New Roman"/>
                <w:sz w:val="16"/>
                <w:szCs w:val="14"/>
                <w:lang w:val="fr-CH" w:eastAsia="x-none"/>
              </w:rPr>
              <w:t xml:space="preserve">Permanent </w:t>
            </w:r>
            <w:proofErr w:type="spellStart"/>
            <w:proofErr w:type="gramStart"/>
            <w:r w:rsidRPr="00FC3901">
              <w:rPr>
                <w:rFonts w:eastAsia="MS Mincho" w:cs="Times New Roman"/>
                <w:sz w:val="16"/>
                <w:szCs w:val="14"/>
                <w:lang w:val="fr-CH" w:eastAsia="x-none"/>
              </w:rPr>
              <w:t>grassland</w:t>
            </w:r>
            <w:proofErr w:type="spellEnd"/>
            <w:r w:rsidRPr="00FC3901">
              <w:rPr>
                <w:rFonts w:eastAsia="MS Mincho" w:cs="Times New Roman"/>
                <w:sz w:val="16"/>
                <w:szCs w:val="14"/>
                <w:lang w:val="fr-CH" w:eastAsia="x-none"/>
              </w:rPr>
              <w:t>:</w:t>
            </w:r>
            <w:proofErr w:type="gramEnd"/>
            <w:r w:rsidRPr="00FC3901">
              <w:rPr>
                <w:rFonts w:eastAsia="MS Mincho" w:cs="Times New Roman"/>
                <w:sz w:val="16"/>
                <w:szCs w:val="14"/>
                <w:lang w:val="fr-CH" w:eastAsia="x-none"/>
              </w:rPr>
              <w:t xml:space="preserve"> 6.9 million ha</w:t>
            </w:r>
          </w:p>
        </w:tc>
        <w:tc>
          <w:tcPr>
            <w:tcW w:w="2273" w:type="dxa"/>
            <w:tcBorders>
              <w:top w:val="nil"/>
              <w:left w:val="nil"/>
              <w:bottom w:val="nil"/>
              <w:right w:val="nil"/>
            </w:tcBorders>
          </w:tcPr>
          <w:p w14:paraId="0FA3204C" w14:textId="77777777" w:rsidR="000F3AB3" w:rsidRPr="00FC3901" w:rsidRDefault="000F3AB3" w:rsidP="00647DBF">
            <w:pPr>
              <w:keepLines/>
              <w:tabs>
                <w:tab w:val="left" w:pos="3060"/>
                <w:tab w:val="left" w:pos="6120"/>
              </w:tabs>
              <w:snapToGrid w:val="0"/>
              <w:rPr>
                <w:rFonts w:eastAsia="MS Mincho" w:cs="Times New Roman"/>
                <w:sz w:val="16"/>
                <w:szCs w:val="14"/>
                <w:lang w:val="fr-CH" w:eastAsia="x-none"/>
              </w:rPr>
            </w:pPr>
          </w:p>
        </w:tc>
      </w:tr>
      <w:tr w:rsidR="000F3AB3" w:rsidRPr="00FC3901" w14:paraId="19DD712B" w14:textId="77777777" w:rsidTr="000F3AB3">
        <w:trPr>
          <w:cnfStyle w:val="000000010000" w:firstRow="0" w:lastRow="0" w:firstColumn="0" w:lastColumn="0" w:oddVBand="0" w:evenVBand="0" w:oddHBand="0" w:evenHBand="1" w:firstRowFirstColumn="0" w:firstRowLastColumn="0" w:lastRowFirstColumn="0" w:lastRowLastColumn="0"/>
          <w:trHeight w:val="19"/>
        </w:trPr>
        <w:tc>
          <w:tcPr>
            <w:tcW w:w="1611" w:type="dxa"/>
            <w:tcBorders>
              <w:top w:val="nil"/>
              <w:left w:val="nil"/>
              <w:bottom w:val="nil"/>
            </w:tcBorders>
            <w:hideMark/>
          </w:tcPr>
          <w:p w14:paraId="1EF9959E" w14:textId="77777777" w:rsidR="000F3AB3" w:rsidRPr="00674C58" w:rsidRDefault="000F3AB3" w:rsidP="00647DBF">
            <w:pPr>
              <w:keepLines/>
              <w:tabs>
                <w:tab w:val="left" w:pos="3060"/>
                <w:tab w:val="left" w:pos="6120"/>
              </w:tabs>
              <w:snapToGrid w:val="0"/>
              <w:rPr>
                <w:rFonts w:eastAsia="MS Mincho" w:cs="Times New Roman"/>
                <w:b/>
                <w:sz w:val="16"/>
                <w:szCs w:val="14"/>
                <w:lang w:val="en-IE" w:eastAsia="x-none"/>
              </w:rPr>
            </w:pPr>
            <w:r w:rsidRPr="00674C58">
              <w:rPr>
                <w:rFonts w:eastAsia="MS Mincho" w:cs="Times New Roman"/>
                <w:b/>
                <w:sz w:val="16"/>
                <w:szCs w:val="14"/>
                <w:lang w:val="en-IE" w:eastAsia="x-none"/>
              </w:rPr>
              <w:t>Top arable crop groups</w:t>
            </w:r>
          </w:p>
        </w:tc>
        <w:tc>
          <w:tcPr>
            <w:tcW w:w="2273" w:type="dxa"/>
            <w:tcBorders>
              <w:top w:val="nil"/>
              <w:bottom w:val="nil"/>
            </w:tcBorders>
            <w:hideMark/>
          </w:tcPr>
          <w:p w14:paraId="67EDA384"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 xml:space="preserve">Cereals: 2.9 million ha </w:t>
            </w:r>
            <w:r w:rsidRPr="00674C58">
              <w:rPr>
                <w:rFonts w:eastAsia="MS Mincho" w:cs="Times New Roman"/>
                <w:sz w:val="16"/>
                <w:szCs w:val="14"/>
                <w:lang w:val="en-IE" w:eastAsia="x-none"/>
              </w:rPr>
              <w:br/>
              <w:t>Green fodder: 2.7 million ha</w:t>
            </w:r>
          </w:p>
          <w:p w14:paraId="22A6F45E"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Oilseeds: 0.7 million ha</w:t>
            </w:r>
          </w:p>
        </w:tc>
        <w:tc>
          <w:tcPr>
            <w:tcW w:w="2273" w:type="dxa"/>
            <w:tcBorders>
              <w:top w:val="nil"/>
              <w:bottom w:val="nil"/>
            </w:tcBorders>
            <w:hideMark/>
          </w:tcPr>
          <w:p w14:paraId="79F985D3"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Cereals: 2.6 million ha</w:t>
            </w:r>
            <w:r w:rsidRPr="00674C58">
              <w:rPr>
                <w:rFonts w:eastAsia="MS Mincho" w:cs="Times New Roman"/>
                <w:sz w:val="16"/>
                <w:szCs w:val="14"/>
                <w:lang w:val="en-IE" w:eastAsia="x-none"/>
              </w:rPr>
              <w:br/>
              <w:t>Green fodder: 2.6 million ha</w:t>
            </w:r>
            <w:r w:rsidRPr="00674C58">
              <w:rPr>
                <w:rFonts w:eastAsia="MS Mincho" w:cs="Times New Roman"/>
                <w:sz w:val="16"/>
                <w:szCs w:val="14"/>
                <w:lang w:val="en-IE" w:eastAsia="x-none"/>
              </w:rPr>
              <w:br/>
              <w:t>Dry pulses: 0.5 million ha</w:t>
            </w:r>
          </w:p>
        </w:tc>
        <w:tc>
          <w:tcPr>
            <w:tcW w:w="2273" w:type="dxa"/>
            <w:tcBorders>
              <w:top w:val="nil"/>
              <w:bottom w:val="nil"/>
              <w:right w:val="nil"/>
            </w:tcBorders>
            <w:hideMark/>
          </w:tcPr>
          <w:p w14:paraId="748FDB06"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Largest arable areas:</w:t>
            </w:r>
          </w:p>
          <w:p w14:paraId="4DD25A42"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France (1.6 million ha); Italy (1.1 million ha); Germany (0.8 million ha)</w:t>
            </w:r>
          </w:p>
        </w:tc>
      </w:tr>
      <w:tr w:rsidR="000F3AB3" w:rsidRPr="00674C58" w14:paraId="3650AC9E" w14:textId="77777777" w:rsidTr="000F3AB3">
        <w:trPr>
          <w:cnfStyle w:val="000000100000" w:firstRow="0" w:lastRow="0" w:firstColumn="0" w:lastColumn="0" w:oddVBand="0" w:evenVBand="0" w:oddHBand="1" w:evenHBand="0" w:firstRowFirstColumn="0" w:firstRowLastColumn="0" w:lastRowFirstColumn="0" w:lastRowLastColumn="0"/>
          <w:trHeight w:val="19"/>
        </w:trPr>
        <w:tc>
          <w:tcPr>
            <w:tcW w:w="1611" w:type="dxa"/>
            <w:tcBorders>
              <w:top w:val="nil"/>
              <w:left w:val="nil"/>
              <w:bottom w:val="nil"/>
              <w:right w:val="nil"/>
            </w:tcBorders>
            <w:hideMark/>
          </w:tcPr>
          <w:p w14:paraId="5F4B3445" w14:textId="77777777" w:rsidR="000F3AB3" w:rsidRPr="00674C58" w:rsidRDefault="000F3AB3" w:rsidP="00647DBF">
            <w:pPr>
              <w:keepLines/>
              <w:tabs>
                <w:tab w:val="left" w:pos="3060"/>
                <w:tab w:val="left" w:pos="6120"/>
              </w:tabs>
              <w:snapToGrid w:val="0"/>
              <w:rPr>
                <w:rFonts w:eastAsia="MS Mincho" w:cs="Times New Roman"/>
                <w:b/>
                <w:sz w:val="16"/>
                <w:szCs w:val="14"/>
                <w:lang w:val="en-IE" w:eastAsia="x-none"/>
              </w:rPr>
            </w:pPr>
            <w:r w:rsidRPr="00674C58">
              <w:rPr>
                <w:rFonts w:eastAsia="MS Mincho" w:cs="Times New Roman"/>
                <w:b/>
                <w:sz w:val="16"/>
                <w:szCs w:val="14"/>
                <w:lang w:val="en-IE" w:eastAsia="x-none"/>
              </w:rPr>
              <w:t>Top permanent crop groups</w:t>
            </w:r>
          </w:p>
        </w:tc>
        <w:tc>
          <w:tcPr>
            <w:tcW w:w="2273" w:type="dxa"/>
            <w:tcBorders>
              <w:top w:val="nil"/>
              <w:left w:val="nil"/>
              <w:bottom w:val="nil"/>
              <w:right w:val="nil"/>
            </w:tcBorders>
            <w:hideMark/>
          </w:tcPr>
          <w:p w14:paraId="63211700"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Olives: 0.6 million ha</w:t>
            </w:r>
          </w:p>
          <w:p w14:paraId="077C5656"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Grapes: 0.5 million ha</w:t>
            </w:r>
          </w:p>
          <w:p w14:paraId="4808D3F8"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Nuts: 0.5 million ha</w:t>
            </w:r>
          </w:p>
        </w:tc>
        <w:tc>
          <w:tcPr>
            <w:tcW w:w="2273" w:type="dxa"/>
            <w:tcBorders>
              <w:top w:val="nil"/>
              <w:left w:val="nil"/>
              <w:bottom w:val="nil"/>
              <w:right w:val="nil"/>
            </w:tcBorders>
            <w:hideMark/>
          </w:tcPr>
          <w:p w14:paraId="15B8A9D0"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Olives: 0.6 million ha</w:t>
            </w:r>
          </w:p>
          <w:p w14:paraId="6857466F"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Grapes: 0.5 million ha</w:t>
            </w:r>
          </w:p>
          <w:p w14:paraId="7736012A"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Nuts: 0.4 million ha</w:t>
            </w:r>
          </w:p>
        </w:tc>
        <w:tc>
          <w:tcPr>
            <w:tcW w:w="2273" w:type="dxa"/>
            <w:tcBorders>
              <w:top w:val="nil"/>
              <w:left w:val="nil"/>
              <w:bottom w:val="nil"/>
              <w:right w:val="nil"/>
            </w:tcBorders>
            <w:hideMark/>
          </w:tcPr>
          <w:p w14:paraId="6DD79739"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Largest permanent crop areas:</w:t>
            </w:r>
          </w:p>
          <w:p w14:paraId="02D1665D"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Spain (0.8 million ha; Italy (0.6 million ha); France (0.2 million ha)</w:t>
            </w:r>
          </w:p>
        </w:tc>
      </w:tr>
      <w:tr w:rsidR="000F3AB3" w:rsidRPr="00FC3901" w14:paraId="52873E15" w14:textId="77777777" w:rsidTr="000F3AB3">
        <w:trPr>
          <w:cnfStyle w:val="000000010000" w:firstRow="0" w:lastRow="0" w:firstColumn="0" w:lastColumn="0" w:oddVBand="0" w:evenVBand="0" w:oddHBand="0" w:evenHBand="1" w:firstRowFirstColumn="0" w:firstRowLastColumn="0" w:lastRowFirstColumn="0" w:lastRowLastColumn="0"/>
          <w:trHeight w:val="19"/>
        </w:trPr>
        <w:tc>
          <w:tcPr>
            <w:tcW w:w="1611" w:type="dxa"/>
            <w:tcBorders>
              <w:top w:val="nil"/>
              <w:left w:val="nil"/>
              <w:bottom w:val="nil"/>
            </w:tcBorders>
            <w:hideMark/>
          </w:tcPr>
          <w:p w14:paraId="4FFAF108" w14:textId="77777777" w:rsidR="000F3AB3" w:rsidRPr="00674C58" w:rsidRDefault="000F3AB3" w:rsidP="00647DBF">
            <w:pPr>
              <w:keepLines/>
              <w:tabs>
                <w:tab w:val="left" w:pos="3060"/>
                <w:tab w:val="left" w:pos="6120"/>
              </w:tabs>
              <w:snapToGrid w:val="0"/>
              <w:rPr>
                <w:rFonts w:eastAsia="MS Mincho" w:cs="Times New Roman"/>
                <w:b/>
                <w:sz w:val="16"/>
                <w:szCs w:val="14"/>
                <w:lang w:val="en-IE" w:eastAsia="x-none"/>
              </w:rPr>
            </w:pPr>
            <w:r w:rsidRPr="00674C58">
              <w:rPr>
                <w:rFonts w:eastAsia="MS Mincho" w:cs="Times New Roman"/>
                <w:b/>
                <w:sz w:val="16"/>
                <w:szCs w:val="14"/>
                <w:lang w:val="en-IE" w:eastAsia="x-none"/>
              </w:rPr>
              <w:t>Wild collection area</w:t>
            </w:r>
          </w:p>
        </w:tc>
        <w:tc>
          <w:tcPr>
            <w:tcW w:w="2273" w:type="dxa"/>
            <w:tcBorders>
              <w:top w:val="nil"/>
              <w:bottom w:val="nil"/>
            </w:tcBorders>
            <w:hideMark/>
          </w:tcPr>
          <w:p w14:paraId="68FDA342"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11.3 million ha</w:t>
            </w:r>
          </w:p>
        </w:tc>
        <w:tc>
          <w:tcPr>
            <w:tcW w:w="2273" w:type="dxa"/>
            <w:tcBorders>
              <w:top w:val="nil"/>
              <w:bottom w:val="nil"/>
            </w:tcBorders>
            <w:hideMark/>
          </w:tcPr>
          <w:p w14:paraId="656D15A2"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7.3 million ha</w:t>
            </w:r>
          </w:p>
        </w:tc>
        <w:tc>
          <w:tcPr>
            <w:tcW w:w="2273" w:type="dxa"/>
            <w:tcBorders>
              <w:top w:val="nil"/>
              <w:bottom w:val="nil"/>
              <w:right w:val="nil"/>
            </w:tcBorders>
            <w:hideMark/>
          </w:tcPr>
          <w:p w14:paraId="24E3CEF4" w14:textId="7CAAD9FD" w:rsidR="000F3AB3" w:rsidRPr="00FC3901" w:rsidRDefault="000F3AB3" w:rsidP="00647DBF">
            <w:pPr>
              <w:keepLines/>
              <w:tabs>
                <w:tab w:val="left" w:pos="3060"/>
                <w:tab w:val="left" w:pos="6120"/>
              </w:tabs>
              <w:snapToGrid w:val="0"/>
              <w:rPr>
                <w:rFonts w:eastAsia="MS Mincho" w:cs="Times New Roman"/>
                <w:sz w:val="16"/>
                <w:szCs w:val="14"/>
                <w:lang w:val="it-CH" w:eastAsia="x-none"/>
              </w:rPr>
            </w:pPr>
            <w:proofErr w:type="spellStart"/>
            <w:r w:rsidRPr="00FC3901">
              <w:rPr>
                <w:rFonts w:eastAsia="MS Mincho" w:cs="Times New Roman"/>
                <w:sz w:val="16"/>
                <w:szCs w:val="14"/>
                <w:lang w:val="it-CH" w:eastAsia="x-none"/>
              </w:rPr>
              <w:t>Finland</w:t>
            </w:r>
            <w:proofErr w:type="spellEnd"/>
            <w:r w:rsidRPr="00FC3901">
              <w:rPr>
                <w:rFonts w:eastAsia="MS Mincho" w:cs="Times New Roman"/>
                <w:sz w:val="16"/>
                <w:szCs w:val="14"/>
                <w:lang w:val="it-CH" w:eastAsia="x-none"/>
              </w:rPr>
              <w:t xml:space="preserve"> (6.9</w:t>
            </w:r>
            <w:r w:rsidR="0032562E" w:rsidRPr="00FC3901">
              <w:rPr>
                <w:rFonts w:eastAsia="MS Mincho" w:cs="Times New Roman"/>
                <w:sz w:val="16"/>
                <w:szCs w:val="14"/>
                <w:lang w:val="it-CH" w:eastAsia="x-none"/>
              </w:rPr>
              <w:t xml:space="preserve"> </w:t>
            </w:r>
            <w:proofErr w:type="spellStart"/>
            <w:r w:rsidRPr="00FC3901">
              <w:rPr>
                <w:rFonts w:eastAsia="MS Mincho" w:cs="Times New Roman"/>
                <w:sz w:val="16"/>
                <w:szCs w:val="14"/>
                <w:lang w:val="it-CH" w:eastAsia="x-none"/>
              </w:rPr>
              <w:t>million</w:t>
            </w:r>
            <w:proofErr w:type="spellEnd"/>
            <w:r w:rsidRPr="00FC3901">
              <w:rPr>
                <w:rFonts w:eastAsia="MS Mincho" w:cs="Times New Roman"/>
                <w:sz w:val="16"/>
                <w:szCs w:val="14"/>
                <w:lang w:val="it-CH" w:eastAsia="x-none"/>
              </w:rPr>
              <w:t xml:space="preserve"> ha); North Macedonia (0.6 </w:t>
            </w:r>
            <w:proofErr w:type="spellStart"/>
            <w:r w:rsidRPr="00FC3901">
              <w:rPr>
                <w:rFonts w:eastAsia="MS Mincho" w:cs="Times New Roman"/>
                <w:sz w:val="16"/>
                <w:szCs w:val="14"/>
                <w:lang w:val="it-CH" w:eastAsia="x-none"/>
              </w:rPr>
              <w:t>million</w:t>
            </w:r>
            <w:proofErr w:type="spellEnd"/>
            <w:r w:rsidRPr="00FC3901">
              <w:rPr>
                <w:rFonts w:eastAsia="MS Mincho" w:cs="Times New Roman"/>
                <w:sz w:val="16"/>
                <w:szCs w:val="14"/>
                <w:lang w:val="it-CH" w:eastAsia="x-none"/>
              </w:rPr>
              <w:t xml:space="preserve"> ha), Albania (0.5 </w:t>
            </w:r>
            <w:proofErr w:type="spellStart"/>
            <w:r w:rsidRPr="00FC3901">
              <w:rPr>
                <w:rFonts w:eastAsia="MS Mincho" w:cs="Times New Roman"/>
                <w:sz w:val="16"/>
                <w:szCs w:val="14"/>
                <w:lang w:val="it-CH" w:eastAsia="x-none"/>
              </w:rPr>
              <w:t>million</w:t>
            </w:r>
            <w:proofErr w:type="spellEnd"/>
            <w:r w:rsidRPr="00FC3901">
              <w:rPr>
                <w:rFonts w:eastAsia="MS Mincho" w:cs="Times New Roman"/>
                <w:sz w:val="16"/>
                <w:szCs w:val="14"/>
                <w:lang w:val="it-CH" w:eastAsia="x-none"/>
              </w:rPr>
              <w:t xml:space="preserve"> ha)</w:t>
            </w:r>
          </w:p>
        </w:tc>
      </w:tr>
      <w:tr w:rsidR="000F3AB3" w:rsidRPr="00FC3901" w14:paraId="19BE9DDF" w14:textId="77777777" w:rsidTr="000F3AB3">
        <w:trPr>
          <w:cnfStyle w:val="000000100000" w:firstRow="0" w:lastRow="0" w:firstColumn="0" w:lastColumn="0" w:oddVBand="0" w:evenVBand="0" w:oddHBand="1" w:evenHBand="0" w:firstRowFirstColumn="0" w:firstRowLastColumn="0" w:lastRowFirstColumn="0" w:lastRowLastColumn="0"/>
          <w:trHeight w:val="19"/>
        </w:trPr>
        <w:tc>
          <w:tcPr>
            <w:tcW w:w="1611" w:type="dxa"/>
            <w:tcBorders>
              <w:top w:val="nil"/>
              <w:left w:val="nil"/>
              <w:bottom w:val="nil"/>
              <w:right w:val="nil"/>
            </w:tcBorders>
            <w:hideMark/>
          </w:tcPr>
          <w:p w14:paraId="2965847F" w14:textId="77777777" w:rsidR="000F3AB3" w:rsidRPr="00674C58" w:rsidRDefault="000F3AB3" w:rsidP="00647DBF">
            <w:pPr>
              <w:keepLines/>
              <w:tabs>
                <w:tab w:val="left" w:pos="3060"/>
                <w:tab w:val="left" w:pos="6120"/>
              </w:tabs>
              <w:snapToGrid w:val="0"/>
              <w:rPr>
                <w:rFonts w:eastAsia="MS Mincho" w:cs="Times New Roman"/>
                <w:b/>
                <w:sz w:val="16"/>
                <w:szCs w:val="14"/>
                <w:lang w:val="en-IE" w:eastAsia="x-none"/>
              </w:rPr>
            </w:pPr>
            <w:r w:rsidRPr="00674C58">
              <w:rPr>
                <w:rFonts w:eastAsia="MS Mincho" w:cs="Times New Roman"/>
                <w:b/>
                <w:sz w:val="16"/>
                <w:szCs w:val="14"/>
                <w:lang w:val="en-IE" w:eastAsia="x-none"/>
              </w:rPr>
              <w:t xml:space="preserve">Producers </w:t>
            </w:r>
          </w:p>
        </w:tc>
        <w:tc>
          <w:tcPr>
            <w:tcW w:w="2273" w:type="dxa"/>
            <w:tcBorders>
              <w:top w:val="nil"/>
              <w:left w:val="nil"/>
              <w:bottom w:val="nil"/>
              <w:right w:val="nil"/>
            </w:tcBorders>
            <w:hideMark/>
          </w:tcPr>
          <w:p w14:paraId="3698BFF3"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color w:val="000000"/>
                <w:sz w:val="16"/>
                <w:szCs w:val="14"/>
                <w:lang w:val="en-IE" w:eastAsia="x-none"/>
              </w:rPr>
              <w:t>480'135</w:t>
            </w:r>
          </w:p>
        </w:tc>
        <w:tc>
          <w:tcPr>
            <w:tcW w:w="2273" w:type="dxa"/>
            <w:tcBorders>
              <w:top w:val="nil"/>
              <w:left w:val="nil"/>
              <w:bottom w:val="nil"/>
              <w:right w:val="nil"/>
            </w:tcBorders>
            <w:hideMark/>
          </w:tcPr>
          <w:p w14:paraId="1D088F84" w14:textId="77777777" w:rsidR="000F3AB3" w:rsidRPr="00674C58" w:rsidRDefault="000F3AB3" w:rsidP="00647DBF">
            <w:pPr>
              <w:spacing w:after="0"/>
              <w:rPr>
                <w:rFonts w:eastAsia="MS Mincho" w:cs="Times New Roman"/>
                <w:snapToGrid w:val="0"/>
                <w:color w:val="000000"/>
                <w:sz w:val="16"/>
                <w:szCs w:val="14"/>
                <w:lang w:val="en-IE" w:eastAsia="x-none"/>
              </w:rPr>
            </w:pPr>
            <w:r w:rsidRPr="00674C58">
              <w:rPr>
                <w:rFonts w:eastAsia="MS Mincho" w:cs="Times New Roman"/>
                <w:snapToGrid w:val="0"/>
                <w:color w:val="000000"/>
                <w:sz w:val="16"/>
                <w:szCs w:val="14"/>
                <w:lang w:val="en-IE" w:eastAsia="x-none"/>
              </w:rPr>
              <w:t>419'112</w:t>
            </w:r>
          </w:p>
        </w:tc>
        <w:tc>
          <w:tcPr>
            <w:tcW w:w="2273" w:type="dxa"/>
            <w:tcBorders>
              <w:top w:val="nil"/>
              <w:left w:val="nil"/>
              <w:bottom w:val="nil"/>
              <w:right w:val="nil"/>
            </w:tcBorders>
            <w:hideMark/>
          </w:tcPr>
          <w:p w14:paraId="6C76844E"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Italy (82'593); Greece (58'691); France (58'413)</w:t>
            </w:r>
          </w:p>
        </w:tc>
      </w:tr>
      <w:tr w:rsidR="000F3AB3" w:rsidRPr="00FC3901" w14:paraId="75300CD3" w14:textId="77777777" w:rsidTr="000F3AB3">
        <w:trPr>
          <w:cnfStyle w:val="000000010000" w:firstRow="0" w:lastRow="0" w:firstColumn="0" w:lastColumn="0" w:oddVBand="0" w:evenVBand="0" w:oddHBand="0" w:evenHBand="1" w:firstRowFirstColumn="0" w:firstRowLastColumn="0" w:lastRowFirstColumn="0" w:lastRowLastColumn="0"/>
          <w:trHeight w:val="19"/>
        </w:trPr>
        <w:tc>
          <w:tcPr>
            <w:tcW w:w="1611" w:type="dxa"/>
            <w:tcBorders>
              <w:top w:val="nil"/>
              <w:left w:val="nil"/>
              <w:bottom w:val="nil"/>
            </w:tcBorders>
            <w:hideMark/>
          </w:tcPr>
          <w:p w14:paraId="40BB3F77" w14:textId="77777777" w:rsidR="000F3AB3" w:rsidRPr="00674C58" w:rsidRDefault="000F3AB3" w:rsidP="00647DBF">
            <w:pPr>
              <w:keepLines/>
              <w:tabs>
                <w:tab w:val="left" w:pos="3060"/>
                <w:tab w:val="left" w:pos="6120"/>
              </w:tabs>
              <w:snapToGrid w:val="0"/>
              <w:rPr>
                <w:rFonts w:eastAsia="MS Mincho" w:cs="Times New Roman"/>
                <w:b/>
                <w:color w:val="000000"/>
                <w:sz w:val="16"/>
                <w:szCs w:val="14"/>
                <w:lang w:val="en-IE" w:eastAsia="x-none"/>
              </w:rPr>
            </w:pPr>
            <w:r w:rsidRPr="00674C58">
              <w:rPr>
                <w:rFonts w:eastAsia="MS Mincho" w:cs="Times New Roman"/>
                <w:b/>
                <w:color w:val="000000"/>
                <w:sz w:val="16"/>
                <w:szCs w:val="14"/>
                <w:lang w:val="en-IE" w:eastAsia="x-none"/>
              </w:rPr>
              <w:t xml:space="preserve">Processors </w:t>
            </w:r>
          </w:p>
        </w:tc>
        <w:tc>
          <w:tcPr>
            <w:tcW w:w="2273" w:type="dxa"/>
            <w:tcBorders>
              <w:top w:val="nil"/>
              <w:bottom w:val="nil"/>
            </w:tcBorders>
            <w:hideMark/>
          </w:tcPr>
          <w:p w14:paraId="6A7E8EB2" w14:textId="77777777" w:rsidR="000F3AB3" w:rsidRPr="00674C58" w:rsidRDefault="000F3AB3" w:rsidP="00647DBF">
            <w:pPr>
              <w:spacing w:after="0"/>
              <w:rPr>
                <w:rFonts w:eastAsia="MS Mincho" w:cs="Times New Roman"/>
                <w:snapToGrid w:val="0"/>
                <w:color w:val="000000"/>
                <w:sz w:val="16"/>
                <w:szCs w:val="14"/>
                <w:lang w:val="en-IE" w:eastAsia="x-none"/>
              </w:rPr>
            </w:pPr>
            <w:r w:rsidRPr="00674C58">
              <w:rPr>
                <w:rFonts w:eastAsia="MS Mincho" w:cs="Times New Roman"/>
                <w:snapToGrid w:val="0"/>
                <w:color w:val="000000"/>
                <w:sz w:val="16"/>
                <w:szCs w:val="14"/>
                <w:lang w:val="en-IE" w:eastAsia="x-none"/>
              </w:rPr>
              <w:t>91'775</w:t>
            </w:r>
          </w:p>
        </w:tc>
        <w:tc>
          <w:tcPr>
            <w:tcW w:w="2273" w:type="dxa"/>
            <w:tcBorders>
              <w:top w:val="nil"/>
              <w:bottom w:val="nil"/>
            </w:tcBorders>
            <w:hideMark/>
          </w:tcPr>
          <w:p w14:paraId="14353409"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color w:val="000000"/>
                <w:sz w:val="16"/>
                <w:szCs w:val="14"/>
                <w:lang w:val="en-IE" w:eastAsia="x-none"/>
              </w:rPr>
              <w:t>85'956</w:t>
            </w:r>
          </w:p>
        </w:tc>
        <w:tc>
          <w:tcPr>
            <w:tcW w:w="2273" w:type="dxa"/>
            <w:tcBorders>
              <w:top w:val="nil"/>
              <w:bottom w:val="nil"/>
              <w:right w:val="nil"/>
            </w:tcBorders>
            <w:hideMark/>
          </w:tcPr>
          <w:p w14:paraId="5819E9ED"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Italy (23'602); Germany (21'981); France (19'311)</w:t>
            </w:r>
          </w:p>
        </w:tc>
      </w:tr>
      <w:tr w:rsidR="000F3AB3" w:rsidRPr="00674C58" w14:paraId="676A0D3F" w14:textId="77777777" w:rsidTr="000F3AB3">
        <w:trPr>
          <w:cnfStyle w:val="000000100000" w:firstRow="0" w:lastRow="0" w:firstColumn="0" w:lastColumn="0" w:oddVBand="0" w:evenVBand="0" w:oddHBand="1" w:evenHBand="0" w:firstRowFirstColumn="0" w:firstRowLastColumn="0" w:lastRowFirstColumn="0" w:lastRowLastColumn="0"/>
          <w:trHeight w:val="19"/>
        </w:trPr>
        <w:tc>
          <w:tcPr>
            <w:tcW w:w="1611" w:type="dxa"/>
            <w:tcBorders>
              <w:top w:val="nil"/>
              <w:left w:val="nil"/>
              <w:bottom w:val="nil"/>
              <w:right w:val="nil"/>
            </w:tcBorders>
            <w:hideMark/>
          </w:tcPr>
          <w:p w14:paraId="4F68F1CA" w14:textId="77777777" w:rsidR="000F3AB3" w:rsidRPr="00674C58" w:rsidRDefault="000F3AB3" w:rsidP="00647DBF">
            <w:pPr>
              <w:keepLines/>
              <w:tabs>
                <w:tab w:val="left" w:pos="3060"/>
                <w:tab w:val="left" w:pos="6120"/>
              </w:tabs>
              <w:snapToGrid w:val="0"/>
              <w:rPr>
                <w:rFonts w:eastAsia="MS Mincho" w:cs="Times New Roman"/>
                <w:b/>
                <w:sz w:val="16"/>
                <w:szCs w:val="14"/>
                <w:lang w:val="en-IE" w:eastAsia="x-none"/>
              </w:rPr>
            </w:pPr>
            <w:r w:rsidRPr="00674C58">
              <w:rPr>
                <w:rFonts w:eastAsia="MS Mincho" w:cs="Times New Roman"/>
                <w:b/>
                <w:sz w:val="16"/>
                <w:szCs w:val="14"/>
                <w:lang w:val="en-IE" w:eastAsia="x-none"/>
              </w:rPr>
              <w:t xml:space="preserve">Importers </w:t>
            </w:r>
          </w:p>
        </w:tc>
        <w:tc>
          <w:tcPr>
            <w:tcW w:w="2273" w:type="dxa"/>
            <w:tcBorders>
              <w:top w:val="nil"/>
              <w:left w:val="nil"/>
              <w:bottom w:val="nil"/>
              <w:right w:val="nil"/>
            </w:tcBorders>
            <w:hideMark/>
          </w:tcPr>
          <w:p w14:paraId="0810A508"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color w:val="000000"/>
                <w:sz w:val="16"/>
                <w:szCs w:val="14"/>
                <w:lang w:val="en-IE" w:eastAsia="x-none"/>
              </w:rPr>
              <w:t>7'609</w:t>
            </w:r>
          </w:p>
        </w:tc>
        <w:tc>
          <w:tcPr>
            <w:tcW w:w="2273" w:type="dxa"/>
            <w:tcBorders>
              <w:top w:val="nil"/>
              <w:left w:val="nil"/>
              <w:bottom w:val="nil"/>
              <w:right w:val="nil"/>
            </w:tcBorders>
            <w:hideMark/>
          </w:tcPr>
          <w:p w14:paraId="0197E4CC"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color w:val="000000"/>
                <w:sz w:val="16"/>
                <w:szCs w:val="14"/>
                <w:lang w:val="en-IE" w:eastAsia="x-none"/>
              </w:rPr>
              <w:t>6'450</w:t>
            </w:r>
          </w:p>
        </w:tc>
        <w:tc>
          <w:tcPr>
            <w:tcW w:w="2273" w:type="dxa"/>
            <w:tcBorders>
              <w:top w:val="nil"/>
              <w:left w:val="nil"/>
              <w:bottom w:val="nil"/>
              <w:right w:val="nil"/>
            </w:tcBorders>
            <w:hideMark/>
          </w:tcPr>
          <w:p w14:paraId="3B312520"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Germany (1'944); Switzerland (687); France (662)</w:t>
            </w:r>
          </w:p>
        </w:tc>
      </w:tr>
      <w:tr w:rsidR="000F3AB3" w:rsidRPr="00674C58" w14:paraId="2BF876E1" w14:textId="77777777" w:rsidTr="000F3AB3">
        <w:trPr>
          <w:cnfStyle w:val="000000010000" w:firstRow="0" w:lastRow="0" w:firstColumn="0" w:lastColumn="0" w:oddVBand="0" w:evenVBand="0" w:oddHBand="0" w:evenHBand="1" w:firstRowFirstColumn="0" w:firstRowLastColumn="0" w:lastRowFirstColumn="0" w:lastRowLastColumn="0"/>
          <w:trHeight w:val="19"/>
        </w:trPr>
        <w:tc>
          <w:tcPr>
            <w:tcW w:w="1611" w:type="dxa"/>
            <w:tcBorders>
              <w:top w:val="nil"/>
              <w:left w:val="nil"/>
              <w:bottom w:val="nil"/>
            </w:tcBorders>
            <w:hideMark/>
          </w:tcPr>
          <w:p w14:paraId="6A8B2045" w14:textId="77777777" w:rsidR="000F3AB3" w:rsidRPr="00674C58" w:rsidRDefault="000F3AB3" w:rsidP="00647DBF">
            <w:pPr>
              <w:keepLines/>
              <w:tabs>
                <w:tab w:val="left" w:pos="3060"/>
                <w:tab w:val="left" w:pos="6120"/>
              </w:tabs>
              <w:snapToGrid w:val="0"/>
              <w:rPr>
                <w:rFonts w:eastAsia="MS Mincho" w:cs="Times New Roman"/>
                <w:b/>
                <w:sz w:val="16"/>
                <w:szCs w:val="14"/>
                <w:lang w:val="en-IE" w:eastAsia="x-none"/>
              </w:rPr>
            </w:pPr>
            <w:r w:rsidRPr="00674C58">
              <w:rPr>
                <w:rFonts w:eastAsia="MS Mincho" w:cs="Times New Roman"/>
                <w:b/>
                <w:sz w:val="16"/>
                <w:szCs w:val="14"/>
                <w:lang w:val="en-IE" w:eastAsia="x-none"/>
              </w:rPr>
              <w:t>Retail sales</w:t>
            </w:r>
          </w:p>
        </w:tc>
        <w:tc>
          <w:tcPr>
            <w:tcW w:w="2273" w:type="dxa"/>
            <w:tcBorders>
              <w:top w:val="nil"/>
              <w:bottom w:val="nil"/>
            </w:tcBorders>
            <w:hideMark/>
          </w:tcPr>
          <w:p w14:paraId="7661F6F7"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53.1 billion euros</w:t>
            </w:r>
          </w:p>
        </w:tc>
        <w:tc>
          <w:tcPr>
            <w:tcW w:w="2273" w:type="dxa"/>
            <w:tcBorders>
              <w:top w:val="nil"/>
              <w:bottom w:val="nil"/>
            </w:tcBorders>
            <w:hideMark/>
          </w:tcPr>
          <w:p w14:paraId="274C6442"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45.1 billion euros</w:t>
            </w:r>
          </w:p>
        </w:tc>
        <w:tc>
          <w:tcPr>
            <w:tcW w:w="2273" w:type="dxa"/>
            <w:tcBorders>
              <w:top w:val="nil"/>
              <w:bottom w:val="nil"/>
              <w:right w:val="nil"/>
            </w:tcBorders>
            <w:hideMark/>
          </w:tcPr>
          <w:p w14:paraId="38AEFBA3"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Germany (15.3 billion euros); France (12.1 billion euros); Switzerland (3.7 billion euros)</w:t>
            </w:r>
          </w:p>
        </w:tc>
      </w:tr>
      <w:tr w:rsidR="000F3AB3" w:rsidRPr="00674C58" w14:paraId="70FC67EF" w14:textId="77777777" w:rsidTr="000F3AB3">
        <w:trPr>
          <w:cnfStyle w:val="000000100000" w:firstRow="0" w:lastRow="0" w:firstColumn="0" w:lastColumn="0" w:oddVBand="0" w:evenVBand="0" w:oddHBand="1" w:evenHBand="0" w:firstRowFirstColumn="0" w:firstRowLastColumn="0" w:lastRowFirstColumn="0" w:lastRowLastColumn="0"/>
          <w:trHeight w:val="19"/>
        </w:trPr>
        <w:tc>
          <w:tcPr>
            <w:tcW w:w="1611" w:type="dxa"/>
            <w:tcBorders>
              <w:top w:val="nil"/>
              <w:left w:val="nil"/>
              <w:bottom w:val="nil"/>
              <w:right w:val="nil"/>
            </w:tcBorders>
            <w:hideMark/>
          </w:tcPr>
          <w:p w14:paraId="75F56755" w14:textId="17DCD9DD" w:rsidR="000F3AB3" w:rsidRPr="00674C58" w:rsidRDefault="000F3AB3" w:rsidP="00647DBF">
            <w:pPr>
              <w:keepLines/>
              <w:tabs>
                <w:tab w:val="left" w:pos="3060"/>
                <w:tab w:val="left" w:pos="6120"/>
              </w:tabs>
              <w:snapToGrid w:val="0"/>
              <w:rPr>
                <w:rFonts w:eastAsia="MS Mincho" w:cs="Times New Roman"/>
                <w:b/>
                <w:sz w:val="16"/>
                <w:szCs w:val="14"/>
                <w:lang w:val="en-IE" w:eastAsia="x-none"/>
              </w:rPr>
            </w:pPr>
            <w:r w:rsidRPr="00674C58">
              <w:rPr>
                <w:rFonts w:eastAsia="MS Mincho" w:cs="Times New Roman"/>
                <w:b/>
                <w:sz w:val="16"/>
                <w:szCs w:val="14"/>
                <w:lang w:val="en-IE" w:eastAsia="x-none"/>
              </w:rPr>
              <w:t>Development of retail sales 2021</w:t>
            </w:r>
            <w:r w:rsidR="0032562E" w:rsidRPr="00674C58">
              <w:rPr>
                <w:rFonts w:eastAsia="MS Mincho" w:cs="Times New Roman"/>
                <w:b/>
                <w:sz w:val="16"/>
                <w:szCs w:val="14"/>
                <w:lang w:val="en-IE" w:eastAsia="x-none"/>
              </w:rPr>
              <w:t>–</w:t>
            </w:r>
            <w:r w:rsidRPr="00674C58">
              <w:rPr>
                <w:rFonts w:eastAsia="MS Mincho" w:cs="Times New Roman"/>
                <w:b/>
                <w:sz w:val="16"/>
                <w:szCs w:val="14"/>
                <w:lang w:val="en-IE" w:eastAsia="x-none"/>
              </w:rPr>
              <w:t>2022</w:t>
            </w:r>
          </w:p>
        </w:tc>
        <w:tc>
          <w:tcPr>
            <w:tcW w:w="2273" w:type="dxa"/>
            <w:tcBorders>
              <w:top w:val="nil"/>
              <w:left w:val="nil"/>
              <w:bottom w:val="nil"/>
              <w:right w:val="nil"/>
            </w:tcBorders>
            <w:hideMark/>
          </w:tcPr>
          <w:p w14:paraId="628A20A9" w14:textId="748085E8"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-2.2</w:t>
            </w:r>
            <w:r w:rsidR="0032562E" w:rsidRPr="00674C58">
              <w:rPr>
                <w:rFonts w:eastAsia="MS Mincho" w:cs="Times New Roman"/>
                <w:sz w:val="16"/>
                <w:szCs w:val="14"/>
                <w:lang w:val="en-IE" w:eastAsia="x-none"/>
              </w:rPr>
              <w:t xml:space="preserve"> </w:t>
            </w:r>
            <w:r w:rsidRPr="00674C58">
              <w:rPr>
                <w:rFonts w:eastAsia="MS Mincho" w:cs="Times New Roman"/>
                <w:sz w:val="16"/>
                <w:szCs w:val="14"/>
                <w:lang w:val="en-IE" w:eastAsia="x-none"/>
              </w:rPr>
              <w:t>%</w:t>
            </w:r>
          </w:p>
        </w:tc>
        <w:tc>
          <w:tcPr>
            <w:tcW w:w="2273" w:type="dxa"/>
            <w:tcBorders>
              <w:top w:val="nil"/>
              <w:left w:val="nil"/>
              <w:bottom w:val="nil"/>
              <w:right w:val="nil"/>
            </w:tcBorders>
            <w:hideMark/>
          </w:tcPr>
          <w:p w14:paraId="6813EC1A" w14:textId="4179B0CD"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-2.8</w:t>
            </w:r>
            <w:r w:rsidR="0032562E" w:rsidRPr="00674C58">
              <w:rPr>
                <w:rFonts w:eastAsia="MS Mincho" w:cs="Times New Roman"/>
                <w:sz w:val="16"/>
                <w:szCs w:val="14"/>
                <w:lang w:val="en-IE" w:eastAsia="x-none"/>
              </w:rPr>
              <w:t xml:space="preserve"> </w:t>
            </w:r>
            <w:r w:rsidRPr="00674C58">
              <w:rPr>
                <w:rFonts w:eastAsia="MS Mincho" w:cs="Times New Roman"/>
                <w:sz w:val="16"/>
                <w:szCs w:val="14"/>
                <w:lang w:val="en-IE" w:eastAsia="x-none"/>
              </w:rPr>
              <w:t>%</w:t>
            </w:r>
          </w:p>
        </w:tc>
        <w:tc>
          <w:tcPr>
            <w:tcW w:w="2273" w:type="dxa"/>
            <w:tcBorders>
              <w:top w:val="nil"/>
              <w:left w:val="nil"/>
              <w:bottom w:val="nil"/>
              <w:right w:val="nil"/>
            </w:tcBorders>
            <w:hideMark/>
          </w:tcPr>
          <w:p w14:paraId="5F55932F"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Estonia (6.0 %); Netherlands (4.4 %); Austria (4.1 %)</w:t>
            </w:r>
          </w:p>
        </w:tc>
      </w:tr>
      <w:tr w:rsidR="000F3AB3" w:rsidRPr="00674C58" w14:paraId="071FD3A7" w14:textId="77777777" w:rsidTr="000F3AB3">
        <w:trPr>
          <w:cnfStyle w:val="000000010000" w:firstRow="0" w:lastRow="0" w:firstColumn="0" w:lastColumn="0" w:oddVBand="0" w:evenVBand="0" w:oddHBand="0" w:evenHBand="1" w:firstRowFirstColumn="0" w:firstRowLastColumn="0" w:lastRowFirstColumn="0" w:lastRowLastColumn="0"/>
          <w:trHeight w:val="19"/>
        </w:trPr>
        <w:tc>
          <w:tcPr>
            <w:tcW w:w="1611" w:type="dxa"/>
            <w:tcBorders>
              <w:top w:val="nil"/>
              <w:left w:val="nil"/>
              <w:bottom w:val="nil"/>
            </w:tcBorders>
            <w:hideMark/>
          </w:tcPr>
          <w:p w14:paraId="1E2C3150" w14:textId="77777777" w:rsidR="000F3AB3" w:rsidRPr="00674C58" w:rsidRDefault="000F3AB3" w:rsidP="00647DBF">
            <w:pPr>
              <w:keepLines/>
              <w:tabs>
                <w:tab w:val="left" w:pos="3060"/>
                <w:tab w:val="left" w:pos="6120"/>
              </w:tabs>
              <w:snapToGrid w:val="0"/>
              <w:rPr>
                <w:rFonts w:eastAsia="MS Mincho" w:cs="Times New Roman"/>
                <w:b/>
                <w:sz w:val="16"/>
                <w:szCs w:val="14"/>
                <w:lang w:val="en-IE" w:eastAsia="x-none"/>
              </w:rPr>
            </w:pPr>
            <w:r w:rsidRPr="00674C58">
              <w:rPr>
                <w:rFonts w:eastAsia="MS Mincho" w:cs="Times New Roman"/>
                <w:b/>
                <w:sz w:val="16"/>
                <w:szCs w:val="14"/>
                <w:lang w:val="en-IE" w:eastAsia="x-none"/>
              </w:rPr>
              <w:t>Organic share of the total market</w:t>
            </w:r>
          </w:p>
        </w:tc>
        <w:tc>
          <w:tcPr>
            <w:tcW w:w="2273" w:type="dxa"/>
            <w:tcBorders>
              <w:top w:val="nil"/>
              <w:bottom w:val="nil"/>
            </w:tcBorders>
            <w:hideMark/>
          </w:tcPr>
          <w:p w14:paraId="206C9CB6"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No data</w:t>
            </w:r>
          </w:p>
        </w:tc>
        <w:tc>
          <w:tcPr>
            <w:tcW w:w="2273" w:type="dxa"/>
            <w:tcBorders>
              <w:top w:val="nil"/>
              <w:bottom w:val="nil"/>
            </w:tcBorders>
            <w:hideMark/>
          </w:tcPr>
          <w:p w14:paraId="01C4B302"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No data</w:t>
            </w:r>
          </w:p>
        </w:tc>
        <w:tc>
          <w:tcPr>
            <w:tcW w:w="2273" w:type="dxa"/>
            <w:tcBorders>
              <w:top w:val="nil"/>
              <w:bottom w:val="nil"/>
              <w:right w:val="nil"/>
            </w:tcBorders>
            <w:hideMark/>
          </w:tcPr>
          <w:p w14:paraId="721412BD" w14:textId="694F4E3F"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Denmark (12.0 %); Austria (11.5</w:t>
            </w:r>
            <w:r w:rsidR="0022615D" w:rsidRPr="00674C58">
              <w:rPr>
                <w:rFonts w:eastAsia="MS Mincho" w:cs="Times New Roman"/>
                <w:sz w:val="16"/>
                <w:szCs w:val="14"/>
                <w:lang w:val="en-IE" w:eastAsia="x-none"/>
              </w:rPr>
              <w:t xml:space="preserve"> </w:t>
            </w:r>
            <w:r w:rsidRPr="00674C58">
              <w:rPr>
                <w:rFonts w:eastAsia="MS Mincho" w:cs="Times New Roman"/>
                <w:sz w:val="16"/>
                <w:szCs w:val="14"/>
                <w:lang w:val="en-IE" w:eastAsia="x-none"/>
              </w:rPr>
              <w:t>%); Switzerland (11.2 %)</w:t>
            </w:r>
          </w:p>
        </w:tc>
      </w:tr>
      <w:tr w:rsidR="000F3AB3" w:rsidRPr="00674C58" w14:paraId="2431858B" w14:textId="77777777" w:rsidTr="000F3AB3">
        <w:trPr>
          <w:cnfStyle w:val="000000100000" w:firstRow="0" w:lastRow="0" w:firstColumn="0" w:lastColumn="0" w:oddVBand="0" w:evenVBand="0" w:oddHBand="1" w:evenHBand="0" w:firstRowFirstColumn="0" w:firstRowLastColumn="0" w:lastRowFirstColumn="0" w:lastRowLastColumn="0"/>
          <w:trHeight w:val="19"/>
        </w:trPr>
        <w:tc>
          <w:tcPr>
            <w:tcW w:w="1611" w:type="dxa"/>
            <w:tcBorders>
              <w:top w:val="nil"/>
              <w:left w:val="nil"/>
              <w:bottom w:val="nil"/>
              <w:right w:val="nil"/>
            </w:tcBorders>
            <w:hideMark/>
          </w:tcPr>
          <w:p w14:paraId="6B0762F1" w14:textId="77777777" w:rsidR="000F3AB3" w:rsidRPr="00674C58" w:rsidRDefault="000F3AB3" w:rsidP="00647DBF">
            <w:pPr>
              <w:rPr>
                <w:rFonts w:eastAsia="MS Mincho" w:cs="Times New Roman"/>
                <w:b/>
                <w:snapToGrid w:val="0"/>
                <w:sz w:val="16"/>
                <w:szCs w:val="14"/>
                <w:lang w:val="en-IE" w:eastAsia="x-none"/>
              </w:rPr>
            </w:pPr>
            <w:r w:rsidRPr="00674C58">
              <w:rPr>
                <w:rFonts w:eastAsia="MS Mincho" w:cs="Times New Roman"/>
                <w:b/>
                <w:snapToGrid w:val="0"/>
                <w:sz w:val="16"/>
                <w:szCs w:val="14"/>
                <w:lang w:val="en-IE" w:eastAsia="x-none"/>
              </w:rPr>
              <w:t xml:space="preserve">Per capita consumption </w:t>
            </w:r>
          </w:p>
        </w:tc>
        <w:tc>
          <w:tcPr>
            <w:tcW w:w="2273" w:type="dxa"/>
            <w:tcBorders>
              <w:top w:val="nil"/>
              <w:left w:val="nil"/>
              <w:bottom w:val="nil"/>
              <w:right w:val="nil"/>
            </w:tcBorders>
            <w:hideMark/>
          </w:tcPr>
          <w:p w14:paraId="156B9703"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64</w:t>
            </w:r>
          </w:p>
        </w:tc>
        <w:tc>
          <w:tcPr>
            <w:tcW w:w="2273" w:type="dxa"/>
            <w:tcBorders>
              <w:top w:val="nil"/>
              <w:left w:val="nil"/>
              <w:bottom w:val="nil"/>
              <w:right w:val="nil"/>
            </w:tcBorders>
            <w:hideMark/>
          </w:tcPr>
          <w:p w14:paraId="5B8D1173"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102 euros</w:t>
            </w:r>
          </w:p>
        </w:tc>
        <w:tc>
          <w:tcPr>
            <w:tcW w:w="2273" w:type="dxa"/>
            <w:tcBorders>
              <w:top w:val="nil"/>
              <w:left w:val="nil"/>
              <w:bottom w:val="nil"/>
              <w:right w:val="nil"/>
            </w:tcBorders>
            <w:hideMark/>
          </w:tcPr>
          <w:p w14:paraId="4DE34DEE"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Switzerland (437 euros); Denmark (365 euros); Austria (274 euros)</w:t>
            </w:r>
          </w:p>
        </w:tc>
        <w:bookmarkEnd w:id="15"/>
      </w:tr>
      <w:tr w:rsidR="000F3AB3" w:rsidRPr="00674C58" w14:paraId="0A784101" w14:textId="77777777" w:rsidTr="000F3AB3">
        <w:trPr>
          <w:cnfStyle w:val="000000010000" w:firstRow="0" w:lastRow="0" w:firstColumn="0" w:lastColumn="0" w:oddVBand="0" w:evenVBand="0" w:oddHBand="0" w:evenHBand="1" w:firstRowFirstColumn="0" w:firstRowLastColumn="0" w:lastRowFirstColumn="0" w:lastRowLastColumn="0"/>
          <w:trHeight w:val="19"/>
        </w:trPr>
        <w:tc>
          <w:tcPr>
            <w:tcW w:w="1611" w:type="dxa"/>
            <w:tcBorders>
              <w:top w:val="nil"/>
              <w:left w:val="nil"/>
              <w:bottom w:val="nil"/>
            </w:tcBorders>
            <w:hideMark/>
          </w:tcPr>
          <w:p w14:paraId="1ADCF66C" w14:textId="77777777" w:rsidR="000F3AB3" w:rsidRPr="00674C58" w:rsidRDefault="000F3AB3" w:rsidP="00647DBF">
            <w:pPr>
              <w:keepLines/>
              <w:tabs>
                <w:tab w:val="left" w:pos="3060"/>
                <w:tab w:val="left" w:pos="6120"/>
              </w:tabs>
              <w:snapToGrid w:val="0"/>
              <w:rPr>
                <w:rFonts w:eastAsia="MS Mincho" w:cs="Times New Roman"/>
                <w:b/>
                <w:bCs/>
                <w:sz w:val="16"/>
                <w:szCs w:val="14"/>
                <w:lang w:val="en-IE" w:eastAsia="x-none"/>
              </w:rPr>
            </w:pPr>
            <w:r w:rsidRPr="00674C58">
              <w:rPr>
                <w:rFonts w:eastAsia="MS Mincho" w:cs="Times New Roman"/>
                <w:b/>
                <w:sz w:val="16"/>
                <w:szCs w:val="14"/>
                <w:lang w:val="en-IE" w:eastAsia="x-none"/>
              </w:rPr>
              <w:t xml:space="preserve">EU organic imports </w:t>
            </w:r>
          </w:p>
        </w:tc>
        <w:tc>
          <w:tcPr>
            <w:tcW w:w="2273" w:type="dxa"/>
            <w:tcBorders>
              <w:top w:val="nil"/>
              <w:bottom w:val="nil"/>
            </w:tcBorders>
          </w:tcPr>
          <w:p w14:paraId="29E6474E"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p>
        </w:tc>
        <w:tc>
          <w:tcPr>
            <w:tcW w:w="2273" w:type="dxa"/>
            <w:tcBorders>
              <w:top w:val="nil"/>
              <w:bottom w:val="nil"/>
            </w:tcBorders>
            <w:hideMark/>
          </w:tcPr>
          <w:p w14:paraId="024A4C6A"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2.73 million metric tons (MT)</w:t>
            </w:r>
          </w:p>
        </w:tc>
        <w:tc>
          <w:tcPr>
            <w:tcW w:w="2273" w:type="dxa"/>
            <w:tcBorders>
              <w:top w:val="nil"/>
              <w:bottom w:val="nil"/>
              <w:right w:val="nil"/>
            </w:tcBorders>
            <w:hideMark/>
          </w:tcPr>
          <w:p w14:paraId="77622026"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Netherlands (0.99 million MT); Germany (0.45 million MT); France (0.27 million MT)</w:t>
            </w:r>
          </w:p>
        </w:tc>
      </w:tr>
      <w:tr w:rsidR="000F3AB3" w:rsidRPr="00674C58" w14:paraId="1EE0C691" w14:textId="77777777" w:rsidTr="000F3AB3">
        <w:trPr>
          <w:cnfStyle w:val="000000100000" w:firstRow="0" w:lastRow="0" w:firstColumn="0" w:lastColumn="0" w:oddVBand="0" w:evenVBand="0" w:oddHBand="1" w:evenHBand="0" w:firstRowFirstColumn="0" w:firstRowLastColumn="0" w:lastRowFirstColumn="0" w:lastRowLastColumn="0"/>
          <w:trHeight w:val="19"/>
        </w:trPr>
        <w:tc>
          <w:tcPr>
            <w:tcW w:w="1611" w:type="dxa"/>
            <w:tcBorders>
              <w:top w:val="nil"/>
              <w:left w:val="nil"/>
              <w:bottom w:val="single" w:sz="8" w:space="0" w:color="256C8E"/>
              <w:right w:val="nil"/>
            </w:tcBorders>
            <w:hideMark/>
          </w:tcPr>
          <w:p w14:paraId="42627CD5" w14:textId="77777777" w:rsidR="000F3AB3" w:rsidRPr="00674C58" w:rsidRDefault="000F3AB3" w:rsidP="00647DBF">
            <w:pPr>
              <w:keepLines/>
              <w:tabs>
                <w:tab w:val="left" w:pos="3060"/>
                <w:tab w:val="left" w:pos="6120"/>
              </w:tabs>
              <w:snapToGrid w:val="0"/>
              <w:rPr>
                <w:rFonts w:eastAsia="MS Mincho" w:cs="Times New Roman"/>
                <w:b/>
                <w:bCs/>
                <w:sz w:val="16"/>
                <w:szCs w:val="14"/>
                <w:lang w:val="en-IE" w:eastAsia="x-none"/>
              </w:rPr>
            </w:pPr>
            <w:r w:rsidRPr="00674C58">
              <w:rPr>
                <w:rFonts w:eastAsia="MS Mincho" w:cs="Times New Roman"/>
                <w:b/>
                <w:sz w:val="16"/>
                <w:szCs w:val="14"/>
                <w:lang w:val="en-IE" w:eastAsia="x-none"/>
              </w:rPr>
              <w:t xml:space="preserve">Exports to EU </w:t>
            </w:r>
          </w:p>
        </w:tc>
        <w:tc>
          <w:tcPr>
            <w:tcW w:w="2273" w:type="dxa"/>
            <w:tcBorders>
              <w:top w:val="nil"/>
              <w:left w:val="nil"/>
              <w:bottom w:val="single" w:sz="8" w:space="0" w:color="256C8E"/>
              <w:right w:val="nil"/>
            </w:tcBorders>
          </w:tcPr>
          <w:p w14:paraId="575BDD6E"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p>
        </w:tc>
        <w:tc>
          <w:tcPr>
            <w:tcW w:w="2273" w:type="dxa"/>
            <w:tcBorders>
              <w:top w:val="nil"/>
              <w:left w:val="nil"/>
              <w:bottom w:val="single" w:sz="8" w:space="0" w:color="256C8E"/>
              <w:right w:val="nil"/>
            </w:tcBorders>
            <w:hideMark/>
          </w:tcPr>
          <w:p w14:paraId="7A4AADEF"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Bananas (0.71 million MT)</w:t>
            </w:r>
          </w:p>
          <w:p w14:paraId="1DFF9606"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 xml:space="preserve">Oilcake (0.23 million MT) </w:t>
            </w:r>
            <w:r w:rsidRPr="00674C58">
              <w:rPr>
                <w:rFonts w:eastAsia="MS Mincho" w:cs="Times New Roman"/>
                <w:sz w:val="16"/>
                <w:szCs w:val="14"/>
                <w:lang w:val="en-IE" w:eastAsia="x-none"/>
              </w:rPr>
              <w:br/>
              <w:t>Soybeans (0.19 million MT)</w:t>
            </w:r>
          </w:p>
        </w:tc>
        <w:tc>
          <w:tcPr>
            <w:tcW w:w="2273" w:type="dxa"/>
            <w:tcBorders>
              <w:top w:val="nil"/>
              <w:left w:val="nil"/>
              <w:bottom w:val="single" w:sz="8" w:space="0" w:color="256C8E"/>
              <w:right w:val="nil"/>
            </w:tcBorders>
            <w:hideMark/>
          </w:tcPr>
          <w:p w14:paraId="712B22BE" w14:textId="77777777" w:rsidR="000F3AB3" w:rsidRPr="00674C58" w:rsidRDefault="000F3AB3" w:rsidP="00647DBF">
            <w:pPr>
              <w:keepLines/>
              <w:tabs>
                <w:tab w:val="left" w:pos="3060"/>
                <w:tab w:val="left" w:pos="6120"/>
              </w:tabs>
              <w:snapToGrid w:val="0"/>
              <w:rPr>
                <w:rFonts w:eastAsia="MS Mincho" w:cs="Times New Roman"/>
                <w:sz w:val="16"/>
                <w:szCs w:val="14"/>
                <w:lang w:val="en-IE" w:eastAsia="x-none"/>
              </w:rPr>
            </w:pPr>
            <w:r w:rsidRPr="00674C58">
              <w:rPr>
                <w:rFonts w:eastAsia="MS Mincho" w:cs="Times New Roman"/>
                <w:sz w:val="16"/>
                <w:szCs w:val="14"/>
                <w:lang w:val="en-IE" w:eastAsia="x-none"/>
              </w:rPr>
              <w:t xml:space="preserve">Ecuador (0.35 million MT); Dom. Rep. (0.25 million MT); Ukraine (0.22 million MT); </w:t>
            </w:r>
          </w:p>
        </w:tc>
      </w:tr>
    </w:tbl>
    <w:bookmarkEnd w:id="16"/>
    <w:p w14:paraId="302E5FC0" w14:textId="3B75CDB4" w:rsidR="000F3AB3" w:rsidRPr="00674C58" w:rsidRDefault="000F3AB3" w:rsidP="000F3AB3">
      <w:pPr>
        <w:tabs>
          <w:tab w:val="left" w:pos="3060"/>
          <w:tab w:val="left" w:pos="6120"/>
        </w:tabs>
        <w:snapToGrid w:val="0"/>
        <w:spacing w:before="120" w:after="360" w:line="240" w:lineRule="auto"/>
        <w:rPr>
          <w:rFonts w:ascii="Gill Sans MT" w:eastAsia="MS Mincho" w:hAnsi="Gill Sans MT" w:cs="Times New Roman"/>
          <w:sz w:val="20"/>
          <w:lang w:val="en-IE" w:eastAsia="x-none"/>
        </w:rPr>
      </w:pPr>
      <w:r w:rsidRPr="00674C58">
        <w:rPr>
          <w:rFonts w:ascii="Gill Sans MT" w:eastAsia="MS Mincho" w:hAnsi="Gill Sans MT" w:cs="Times New Roman"/>
          <w:i/>
          <w:sz w:val="20"/>
          <w:lang w:val="en-IE" w:eastAsia="x-none"/>
        </w:rPr>
        <w:t xml:space="preserve">Source: FiBL-AMI survey 2024. </w:t>
      </w:r>
      <w:r w:rsidRPr="00674C58">
        <w:rPr>
          <w:rFonts w:ascii="Gill Sans MT" w:eastAsia="MS Mincho" w:hAnsi="Gill Sans MT" w:cs="Times New Roman"/>
          <w:i/>
          <w:sz w:val="20"/>
          <w:lang w:val="en-IE" w:eastAsia="x-none"/>
        </w:rPr>
        <w:br/>
      </w:r>
      <w:bookmarkEnd w:id="14"/>
    </w:p>
    <w:p w14:paraId="29E47051" w14:textId="77777777" w:rsidR="001355DA" w:rsidRPr="00674C58" w:rsidRDefault="001355DA">
      <w:pPr>
        <w:rPr>
          <w:rStyle w:val="Hyperlink"/>
          <w:rFonts w:ascii="Palatino Linotype" w:hAnsi="Palatino Linotype"/>
          <w:color w:val="auto"/>
          <w:sz w:val="20"/>
          <w:u w:val="none"/>
          <w:lang w:val="en-IE"/>
        </w:rPr>
      </w:pPr>
    </w:p>
    <w:p w14:paraId="3B59B943" w14:textId="2D77DD61" w:rsidR="00D339A6" w:rsidRPr="00674C58" w:rsidRDefault="00FF7D28" w:rsidP="00EB6B1C">
      <w:pPr>
        <w:pStyle w:val="FiBLmrstandard"/>
        <w:rPr>
          <w:rFonts w:asciiTheme="minorHAnsi" w:hAnsiTheme="minorHAnsi"/>
          <w:noProof/>
          <w:lang w:val="de-CH" w:eastAsia="de-CH"/>
        </w:rPr>
      </w:pPr>
      <w:r w:rsidRPr="00674C58">
        <w:rPr>
          <w:rFonts w:asciiTheme="minorHAnsi" w:hAnsiTheme="minorHAnsi"/>
          <w:noProof/>
          <w:lang w:val="en-US" w:eastAsia="de-CH"/>
        </w:rPr>
        <w:lastRenderedPageBreak/>
        <w:t xml:space="preserve"> </w:t>
      </w:r>
      <w:r w:rsidR="00D339A6" w:rsidRPr="00674C58">
        <w:rPr>
          <w:noProof/>
          <w:lang w:val="de-CH" w:eastAsia="de-CH"/>
        </w:rPr>
        <w:drawing>
          <wp:inline distT="0" distB="0" distL="0" distR="0" wp14:anchorId="07F4136A" wp14:editId="2B787B39">
            <wp:extent cx="7061538" cy="5400000"/>
            <wp:effectExtent l="0" t="7303"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A_infographics_2023_02_06_Page_05.png"/>
                    <pic:cNvPicPr/>
                  </pic:nvPicPr>
                  <pic:blipFill>
                    <a:blip r:embed="rId25" cstate="print">
                      <a:extLst>
                        <a:ext uri="{28A0092B-C50C-407E-A947-70E740481C1C}">
                          <a14:useLocalDpi xmlns:a14="http://schemas.microsoft.com/office/drawing/2010/main" val="0"/>
                        </a:ext>
                      </a:extLst>
                    </a:blip>
                    <a:stretch>
                      <a:fillRect/>
                    </a:stretch>
                  </pic:blipFill>
                  <pic:spPr>
                    <a:xfrm rot="16200000">
                      <a:off x="0" y="0"/>
                      <a:ext cx="7061538" cy="5400000"/>
                    </a:xfrm>
                    <a:prstGeom prst="rect">
                      <a:avLst/>
                    </a:prstGeom>
                  </pic:spPr>
                </pic:pic>
              </a:graphicData>
            </a:graphic>
          </wp:inline>
        </w:drawing>
      </w:r>
    </w:p>
    <w:p w14:paraId="78893228" w14:textId="52C4F98C" w:rsidR="00566983" w:rsidRPr="00674C58" w:rsidRDefault="00D339A6" w:rsidP="00EB6B1C">
      <w:pPr>
        <w:pStyle w:val="FiBLmrstandard"/>
      </w:pPr>
      <w:r w:rsidRPr="00674C58">
        <w:rPr>
          <w:noProof/>
          <w:lang w:val="de-CH" w:eastAsia="de-CH"/>
        </w:rPr>
        <w:lastRenderedPageBreak/>
        <w:drawing>
          <wp:inline distT="0" distB="0" distL="0" distR="0" wp14:anchorId="1AB70577" wp14:editId="3384947D">
            <wp:extent cx="7061538" cy="5400000"/>
            <wp:effectExtent l="0" t="7303"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A_infographics_2023_02_06_Page_08.png"/>
                    <pic:cNvPicPr/>
                  </pic:nvPicPr>
                  <pic:blipFill>
                    <a:blip r:embed="rId26" cstate="print">
                      <a:extLst>
                        <a:ext uri="{28A0092B-C50C-407E-A947-70E740481C1C}">
                          <a14:useLocalDpi xmlns:a14="http://schemas.microsoft.com/office/drawing/2010/main" val="0"/>
                        </a:ext>
                      </a:extLst>
                    </a:blip>
                    <a:stretch>
                      <a:fillRect/>
                    </a:stretch>
                  </pic:blipFill>
                  <pic:spPr>
                    <a:xfrm rot="16200000">
                      <a:off x="0" y="0"/>
                      <a:ext cx="7061538" cy="5400000"/>
                    </a:xfrm>
                    <a:prstGeom prst="rect">
                      <a:avLst/>
                    </a:prstGeom>
                  </pic:spPr>
                </pic:pic>
              </a:graphicData>
            </a:graphic>
          </wp:inline>
        </w:drawing>
      </w:r>
      <w:r w:rsidRPr="00674C58">
        <w:rPr>
          <w:noProof/>
          <w:lang w:val="de-CH" w:eastAsia="de-CH"/>
        </w:rPr>
        <w:lastRenderedPageBreak/>
        <w:drawing>
          <wp:inline distT="0" distB="0" distL="0" distR="0" wp14:anchorId="304C69D1" wp14:editId="3329BFF9">
            <wp:extent cx="7061538" cy="5400000"/>
            <wp:effectExtent l="0" t="7303"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A_infographics_2023_02_06_Page_13.png"/>
                    <pic:cNvPicPr/>
                  </pic:nvPicPr>
                  <pic:blipFill>
                    <a:blip r:embed="rId27" cstate="print">
                      <a:extLst>
                        <a:ext uri="{28A0092B-C50C-407E-A947-70E740481C1C}">
                          <a14:useLocalDpi xmlns:a14="http://schemas.microsoft.com/office/drawing/2010/main" val="0"/>
                        </a:ext>
                      </a:extLst>
                    </a:blip>
                    <a:stretch>
                      <a:fillRect/>
                    </a:stretch>
                  </pic:blipFill>
                  <pic:spPr>
                    <a:xfrm rot="16200000">
                      <a:off x="0" y="0"/>
                      <a:ext cx="7061538" cy="5400000"/>
                    </a:xfrm>
                    <a:prstGeom prst="rect">
                      <a:avLst/>
                    </a:prstGeom>
                  </pic:spPr>
                </pic:pic>
              </a:graphicData>
            </a:graphic>
          </wp:inline>
        </w:drawing>
      </w:r>
    </w:p>
    <w:p w14:paraId="69A63EC2" w14:textId="14A018AA" w:rsidR="00D339A6" w:rsidRPr="00674C58" w:rsidRDefault="00D339A6" w:rsidP="00EB6B1C">
      <w:pPr>
        <w:pStyle w:val="FiBLmrstandard"/>
      </w:pPr>
      <w:r w:rsidRPr="00674C58">
        <w:rPr>
          <w:noProof/>
          <w:lang w:val="de-CH" w:eastAsia="de-CH"/>
        </w:rPr>
        <w:lastRenderedPageBreak/>
        <w:drawing>
          <wp:inline distT="0" distB="0" distL="0" distR="0" wp14:anchorId="5CDEFFAF" wp14:editId="1D8A4DFD">
            <wp:extent cx="7061538" cy="5400000"/>
            <wp:effectExtent l="0" t="7303"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A_infographics_2023_02_06_Page_18.png"/>
                    <pic:cNvPicPr/>
                  </pic:nvPicPr>
                  <pic:blipFill>
                    <a:blip r:embed="rId28" cstate="print">
                      <a:extLst>
                        <a:ext uri="{28A0092B-C50C-407E-A947-70E740481C1C}">
                          <a14:useLocalDpi xmlns:a14="http://schemas.microsoft.com/office/drawing/2010/main" val="0"/>
                        </a:ext>
                      </a:extLst>
                    </a:blip>
                    <a:stretch>
                      <a:fillRect/>
                    </a:stretch>
                  </pic:blipFill>
                  <pic:spPr>
                    <a:xfrm rot="16200000">
                      <a:off x="0" y="0"/>
                      <a:ext cx="7061538" cy="5400000"/>
                    </a:xfrm>
                    <a:prstGeom prst="rect">
                      <a:avLst/>
                    </a:prstGeom>
                  </pic:spPr>
                </pic:pic>
              </a:graphicData>
            </a:graphic>
          </wp:inline>
        </w:drawing>
      </w:r>
    </w:p>
    <w:sectPr w:rsidR="00D339A6" w:rsidRPr="00674C58" w:rsidSect="000F3AB3">
      <w:pgSz w:w="11906" w:h="16838"/>
      <w:pgMar w:top="2268" w:right="1701" w:bottom="1701" w:left="1701" w:header="1134"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2F1A" w16cex:dateUtc="2021-02-16T10: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5965E" w14:textId="77777777" w:rsidR="00B65992" w:rsidRDefault="00B65992" w:rsidP="00F53AA9">
      <w:pPr>
        <w:spacing w:after="0" w:line="240" w:lineRule="auto"/>
      </w:pPr>
      <w:r>
        <w:separator/>
      </w:r>
    </w:p>
  </w:endnote>
  <w:endnote w:type="continuationSeparator" w:id="0">
    <w:p w14:paraId="66518D99" w14:textId="77777777" w:rsidR="00B65992" w:rsidRDefault="00B65992"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BE3392" w14:paraId="677EF56F" w14:textId="77777777" w:rsidTr="00232993">
      <w:trPr>
        <w:trHeight w:val="508"/>
      </w:trPr>
      <w:tc>
        <w:tcPr>
          <w:tcW w:w="7656" w:type="dxa"/>
        </w:tcPr>
        <w:p w14:paraId="5DE87F9D" w14:textId="44386AEA" w:rsidR="008A6B50" w:rsidRDefault="00CF6598" w:rsidP="00DA14CE">
          <w:pPr>
            <w:pStyle w:val="FiBLmrfooter"/>
          </w:pPr>
          <w:r>
            <w:t>Research Institute of Organic Agriculture</w:t>
          </w:r>
          <w:r w:rsidR="00F73377" w:rsidRPr="008A6B50">
            <w:t xml:space="preserve"> </w:t>
          </w:r>
          <w:r w:rsidR="000A27DB">
            <w:t>(</w:t>
          </w:r>
          <w:r w:rsidR="00F73377" w:rsidRPr="008A6B50">
            <w:t>FiBL</w:t>
          </w:r>
          <w:r w:rsidR="000A27DB">
            <w:t>)</w:t>
          </w:r>
          <w:r w:rsidR="00F73377" w:rsidRPr="008A6B50">
            <w:t xml:space="preserve"> | </w:t>
          </w:r>
          <w:proofErr w:type="spellStart"/>
          <w:r w:rsidR="00F73377" w:rsidRPr="008A6B50">
            <w:t>Ackerstrasse</w:t>
          </w:r>
          <w:proofErr w:type="spellEnd"/>
          <w:r w:rsidR="00F73377" w:rsidRPr="008A6B50">
            <w:t xml:space="preserve"> 113 | </w:t>
          </w:r>
          <w:proofErr w:type="spellStart"/>
          <w:r w:rsidR="00F73377" w:rsidRPr="008A6B50">
            <w:t>Postfach</w:t>
          </w:r>
          <w:proofErr w:type="spellEnd"/>
          <w:r w:rsidR="00F73377" w:rsidRPr="008A6B50">
            <w:t xml:space="preserve"> 219 </w:t>
          </w:r>
        </w:p>
        <w:p w14:paraId="3B747FFA" w14:textId="77777777" w:rsidR="00F73377" w:rsidRPr="008A6B50" w:rsidRDefault="00F73377" w:rsidP="00CF6598">
          <w:pPr>
            <w:pStyle w:val="FiBLmrfooter"/>
          </w:pPr>
          <w:r w:rsidRPr="008A6B50">
            <w:t xml:space="preserve">5070 Frick | </w:t>
          </w:r>
          <w:r w:rsidR="00CF6598">
            <w:t>Switzerland</w:t>
          </w:r>
          <w:r w:rsidR="00CF6598" w:rsidRPr="008A6B50">
            <w:t xml:space="preserve"> | </w:t>
          </w:r>
          <w:r w:rsidR="00CF6598">
            <w:t>Phone</w:t>
          </w:r>
          <w:r w:rsidRPr="008A6B50">
            <w:t xml:space="preserve"> +41</w:t>
          </w:r>
          <w:r w:rsidR="00CF6598">
            <w:t xml:space="preserve">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F5E80C5" w14:textId="77777777" w:rsidR="00F73377" w:rsidRPr="008A6B50" w:rsidRDefault="00F73377" w:rsidP="00DA14CE">
          <w:pPr>
            <w:pStyle w:val="FiBLmrpagenumber"/>
          </w:pPr>
        </w:p>
      </w:tc>
    </w:tr>
  </w:tbl>
  <w:p w14:paraId="0C9A8482" w14:textId="77777777" w:rsidR="00D142E7" w:rsidRPr="008E63F1" w:rsidRDefault="00D142E7" w:rsidP="00F73377">
    <w:pPr>
      <w:pStyle w:val="Fuzeile"/>
      <w:rPr>
        <w:lang w:val="en-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46A2D626" w14:textId="77777777" w:rsidTr="003C1747">
      <w:trPr>
        <w:trHeight w:val="508"/>
      </w:trPr>
      <w:tc>
        <w:tcPr>
          <w:tcW w:w="4923" w:type="pct"/>
        </w:tcPr>
        <w:p w14:paraId="34D35E23" w14:textId="15C85165" w:rsidR="00DA14CE" w:rsidRPr="000D7A27" w:rsidRDefault="00F33F4A" w:rsidP="006A2935">
          <w:pPr>
            <w:pStyle w:val="FiBLmrfooter"/>
          </w:pPr>
          <w:r w:rsidRPr="00F33F4A">
            <w:t>Media release</w:t>
          </w:r>
          <w:r w:rsidR="006A2935">
            <w:t xml:space="preserve"> </w:t>
          </w:r>
          <w:r w:rsidR="00F7656B">
            <w:t>13</w:t>
          </w:r>
          <w:r w:rsidRPr="00F33F4A">
            <w:t xml:space="preserve"> February </w:t>
          </w:r>
          <w:r w:rsidR="0008266D">
            <w:t>202</w:t>
          </w:r>
          <w:r w:rsidR="00F7656B">
            <w:t>4</w:t>
          </w:r>
        </w:p>
      </w:tc>
      <w:tc>
        <w:tcPr>
          <w:tcW w:w="77" w:type="pct"/>
        </w:tcPr>
        <w:p w14:paraId="2BCF314B" w14:textId="1C7353C7" w:rsidR="00DA14CE" w:rsidRPr="00186F8F" w:rsidRDefault="00DA14CE">
          <w:pPr>
            <w:pStyle w:val="FiBLmrpagenumber"/>
          </w:pPr>
          <w:r w:rsidRPr="0095158F">
            <w:fldChar w:fldCharType="begin"/>
          </w:r>
          <w:r w:rsidRPr="00186F8F">
            <w:instrText xml:space="preserve"> PAGE   \* MERGEFORMAT </w:instrText>
          </w:r>
          <w:r w:rsidRPr="0095158F">
            <w:fldChar w:fldCharType="separate"/>
          </w:r>
          <w:r w:rsidR="00674C58">
            <w:rPr>
              <w:noProof/>
            </w:rPr>
            <w:t>9</w:t>
          </w:r>
          <w:r w:rsidRPr="0095158F">
            <w:fldChar w:fldCharType="end"/>
          </w:r>
        </w:p>
      </w:tc>
    </w:tr>
  </w:tbl>
  <w:p w14:paraId="6FFE49B7"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07102" w14:textId="77777777" w:rsidR="00B65992" w:rsidRDefault="00B65992" w:rsidP="00F53AA9">
      <w:pPr>
        <w:spacing w:after="0" w:line="240" w:lineRule="auto"/>
      </w:pPr>
      <w:r>
        <w:separator/>
      </w:r>
    </w:p>
  </w:footnote>
  <w:footnote w:type="continuationSeparator" w:id="0">
    <w:p w14:paraId="02BD7D4C" w14:textId="77777777" w:rsidR="00B65992" w:rsidRDefault="00B65992"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8910"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72"/>
      <w:gridCol w:w="3550"/>
      <w:gridCol w:w="1894"/>
      <w:gridCol w:w="1894"/>
    </w:tblGrid>
    <w:tr w:rsidR="00D0032B" w14:paraId="504C3AAD" w14:textId="082955F5" w:rsidTr="5BDF5AD8">
      <w:trPr>
        <w:trHeight w:val="599"/>
      </w:trPr>
      <w:tc>
        <w:tcPr>
          <w:tcW w:w="1572" w:type="dxa"/>
          <w:vAlign w:val="bottom"/>
        </w:tcPr>
        <w:p w14:paraId="6972A654" w14:textId="77777777" w:rsidR="00F64C94" w:rsidRPr="00C725B7" w:rsidRDefault="5BDF5AD8" w:rsidP="00F64C94">
          <w:pPr>
            <w:pStyle w:val="FiBLmrheader"/>
          </w:pPr>
          <w:bookmarkStart w:id="0" w:name="_Hlk64386221"/>
          <w:bookmarkStart w:id="1" w:name="_Hlk64386222"/>
          <w:bookmarkStart w:id="2" w:name="_Hlk64386223"/>
          <w:bookmarkStart w:id="3" w:name="_Hlk64386224"/>
          <w:r>
            <w:rPr>
              <w:noProof/>
              <w:color w:val="2B579A"/>
              <w:shd w:val="clear" w:color="auto" w:fill="E6E6E6"/>
              <w:lang w:val="de-CH" w:eastAsia="de-CH"/>
            </w:rPr>
            <w:drawing>
              <wp:anchor distT="0" distB="0" distL="114300" distR="114300" simplePos="0" relativeHeight="251659264" behindDoc="0" locked="0" layoutInCell="1" allowOverlap="1" wp14:anchorId="21FBC3E6" wp14:editId="2E4B0DFC">
                <wp:simplePos x="0" y="0"/>
                <wp:positionH relativeFrom="column">
                  <wp:posOffset>-3175</wp:posOffset>
                </wp:positionH>
                <wp:positionV relativeFrom="paragraph">
                  <wp:posOffset>213360</wp:posOffset>
                </wp:positionV>
                <wp:extent cx="1024377" cy="428774"/>
                <wp:effectExtent l="0" t="0" r="4445"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024377" cy="428774"/>
                        </a:xfrm>
                        <a:prstGeom prst="rect">
                          <a:avLst/>
                        </a:prstGeom>
                      </pic:spPr>
                    </pic:pic>
                  </a:graphicData>
                </a:graphic>
              </wp:anchor>
            </w:drawing>
          </w:r>
          <w:r>
            <w:t xml:space="preserve"> </w:t>
          </w:r>
        </w:p>
      </w:tc>
      <w:tc>
        <w:tcPr>
          <w:tcW w:w="3550" w:type="dxa"/>
          <w:vAlign w:val="bottom"/>
        </w:tcPr>
        <w:p w14:paraId="6E63DE6C" w14:textId="59755397" w:rsidR="00F64C94" w:rsidRDefault="00F64C94" w:rsidP="00F64C94">
          <w:pPr>
            <w:tabs>
              <w:tab w:val="right" w:pos="7653"/>
            </w:tabs>
          </w:pPr>
        </w:p>
      </w:tc>
      <w:tc>
        <w:tcPr>
          <w:tcW w:w="1894" w:type="dxa"/>
          <w:vAlign w:val="bottom"/>
        </w:tcPr>
        <w:p w14:paraId="0858C362" w14:textId="79835BC4" w:rsidR="00F64C94" w:rsidRDefault="00F64C94" w:rsidP="00F64C94">
          <w:pPr>
            <w:tabs>
              <w:tab w:val="right" w:pos="7653"/>
            </w:tabs>
          </w:pPr>
        </w:p>
      </w:tc>
      <w:tc>
        <w:tcPr>
          <w:tcW w:w="1894" w:type="dxa"/>
          <w:vAlign w:val="bottom"/>
        </w:tcPr>
        <w:p w14:paraId="34D35885" w14:textId="114F70DE" w:rsidR="00F64C94" w:rsidRDefault="006A2935" w:rsidP="00F64C94">
          <w:pPr>
            <w:tabs>
              <w:tab w:val="right" w:pos="7653"/>
            </w:tabs>
          </w:pPr>
          <w:r>
            <w:rPr>
              <w:noProof/>
              <w:color w:val="2B579A"/>
              <w:shd w:val="clear" w:color="auto" w:fill="E6E6E6"/>
              <w:lang w:eastAsia="de-CH"/>
            </w:rPr>
            <w:drawing>
              <wp:anchor distT="0" distB="0" distL="114300" distR="114300" simplePos="0" relativeHeight="251661312" behindDoc="0" locked="0" layoutInCell="1" allowOverlap="1" wp14:anchorId="04AD56D3" wp14:editId="39B42DE8">
                <wp:simplePos x="0" y="0"/>
                <wp:positionH relativeFrom="column">
                  <wp:posOffset>270510</wp:posOffset>
                </wp:positionH>
                <wp:positionV relativeFrom="paragraph">
                  <wp:posOffset>27305</wp:posOffset>
                </wp:positionV>
                <wp:extent cx="808355" cy="636905"/>
                <wp:effectExtent l="0" t="0" r="0" b="0"/>
                <wp:wrapNone/>
                <wp:docPr id="6" name="Grafik 6" descr="C:\Users\helga.willer\AppData\Local\Microsoft\Windows\INetCache\Content.Outlook\EAUK74DX\ami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
                          <a:extLst>
                            <a:ext uri="{28A0092B-C50C-407E-A947-70E740481C1C}">
                              <a14:useLocalDpi xmlns:a14="http://schemas.microsoft.com/office/drawing/2010/main" val="0"/>
                            </a:ext>
                          </a:extLst>
                        </a:blip>
                        <a:stretch>
                          <a:fillRect/>
                        </a:stretch>
                      </pic:blipFill>
                      <pic:spPr>
                        <a:xfrm>
                          <a:off x="0" y="0"/>
                          <a:ext cx="808355" cy="636905"/>
                        </a:xfrm>
                        <a:prstGeom prst="rect">
                          <a:avLst/>
                        </a:prstGeom>
                      </pic:spPr>
                    </pic:pic>
                  </a:graphicData>
                </a:graphic>
                <wp14:sizeRelH relativeFrom="page">
                  <wp14:pctWidth>0</wp14:pctWidth>
                </wp14:sizeRelH>
                <wp14:sizeRelV relativeFrom="page">
                  <wp14:pctHeight>0</wp14:pctHeight>
                </wp14:sizeRelV>
              </wp:anchor>
            </w:drawing>
          </w:r>
          <w:r w:rsidR="00FF7D28">
            <w:t xml:space="preserve"> </w:t>
          </w:r>
        </w:p>
      </w:tc>
    </w:tr>
    <w:bookmarkEnd w:id="0"/>
    <w:bookmarkEnd w:id="1"/>
    <w:bookmarkEnd w:id="2"/>
    <w:bookmarkEnd w:id="3"/>
  </w:tbl>
  <w:p w14:paraId="1773E1E8" w14:textId="454451CA" w:rsidR="00540DAE" w:rsidRDefault="00540DAE" w:rsidP="00E71FBF">
    <w:pPr>
      <w:tabs>
        <w:tab w:val="right" w:pos="7653"/>
      </w:tabs>
    </w:pPr>
  </w:p>
  <w:p w14:paraId="690285C7" w14:textId="77777777" w:rsidR="0021787A" w:rsidRDefault="0021787A"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D822182"/>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029409E5"/>
    <w:multiLevelType w:val="multilevel"/>
    <w:tmpl w:val="E2EC15E4"/>
    <w:lvl w:ilvl="0">
      <w:start w:val="1"/>
      <w:numFmt w:val="upperRoman"/>
      <w:pStyle w:val="fiblmodul"/>
      <w:lvlText w:val="%1"/>
      <w:lvlJc w:val="left"/>
      <w:pPr>
        <w:tabs>
          <w:tab w:val="num" w:pos="720"/>
        </w:tabs>
        <w:ind w:left="720" w:hanging="720"/>
      </w:pPr>
      <w:rPr>
        <w:rFonts w:hint="default"/>
      </w:rPr>
    </w:lvl>
    <w:lvl w:ilvl="1">
      <w:start w:val="1"/>
      <w:numFmt w:val="ordinal"/>
      <w:lvlText w:val="%2"/>
      <w:lvlJc w:val="left"/>
      <w:pPr>
        <w:tabs>
          <w:tab w:val="num" w:pos="720"/>
        </w:tabs>
        <w:ind w:left="720" w:hanging="720"/>
      </w:pPr>
      <w:rPr>
        <w:rFonts w:hint="default"/>
      </w:rPr>
    </w:lvl>
    <w:lvl w:ilvl="2">
      <w:start w:val="1"/>
      <w:numFmt w:val="ordinal"/>
      <w:lvlText w:val="%2%3)"/>
      <w:lvlJc w:val="left"/>
      <w:pPr>
        <w:tabs>
          <w:tab w:val="num" w:pos="720"/>
        </w:tabs>
        <w:ind w:left="72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3CC0C91"/>
    <w:multiLevelType w:val="multilevel"/>
    <w:tmpl w:val="9ED6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97468"/>
    <w:multiLevelType w:val="multilevel"/>
    <w:tmpl w:val="02F8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6"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C56404C"/>
    <w:multiLevelType w:val="multilevel"/>
    <w:tmpl w:val="EF92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6"/>
  </w:num>
  <w:num w:numId="4">
    <w:abstractNumId w:val="5"/>
  </w:num>
  <w:num w:numId="5">
    <w:abstractNumId w:val="1"/>
  </w:num>
  <w:num w:numId="6">
    <w:abstractNumId w:val="0"/>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CH" w:vendorID="64" w:dllVersion="0" w:nlCheck="1" w:checkStyle="0"/>
  <w:activeWritingStyle w:appName="MSWord" w:lang="en-GB" w:vendorID="64" w:dllVersion="4096" w:nlCheck="1" w:checkStyle="0"/>
  <w:activeWritingStyle w:appName="MSWord" w:lang="de-CH" w:vendorID="64" w:dllVersion="4096" w:nlCheck="1" w:checkStyle="0"/>
  <w:activeWritingStyle w:appName="MSWord" w:lang="it-IT" w:vendorID="64" w:dllVersion="4096" w:nlCheck="1" w:checkStyle="0"/>
  <w:activeWritingStyle w:appName="MSWord" w:lang="es-ES"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fr-CH" w:vendorID="64" w:dllVersion="6" w:nlCheck="1" w:checkStyle="0"/>
  <w:activeWritingStyle w:appName="MSWord" w:lang="de-CH" w:vendorID="64" w:dllVersion="6" w:nlCheck="1" w:checkStyle="0"/>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fr-BE" w:vendorID="64" w:dllVersion="0" w:nlCheck="1" w:checkStyle="0"/>
  <w:activeWritingStyle w:appName="MSWord" w:lang="fr-BE" w:vendorID="64" w:dllVersion="4096" w:nlCheck="1" w:checkStyle="0"/>
  <w:activeWritingStyle w:appName="MSWord" w:lang="fr-BE" w:vendorID="64" w:dllVersion="6" w:nlCheck="1" w:checkStyle="0"/>
  <w:activeWritingStyle w:appName="MSWord" w:lang="en-IE" w:vendorID="64" w:dllVersion="4096" w:nlCheck="1" w:checkStyle="0"/>
  <w:activeWritingStyle w:appName="MSWord" w:lang="en-IE" w:vendorID="64" w:dllVersion="6" w:nlCheck="1" w:checkStyle="1"/>
  <w:activeWritingStyle w:appName="MSWord" w:lang="it-CH" w:vendorID="64" w:dllVersion="4096" w:nlCheck="1" w:checkStyle="0"/>
  <w:activeWritingStyle w:appName="MSWord" w:lang="de-DE" w:vendorID="64" w:dllVersion="4096" w:nlCheck="1" w:checkStyle="0"/>
  <w:activeWritingStyle w:appName="MSWord" w:lang="it-CH" w:vendorID="64" w:dllVersion="6"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KyNLIwN7E0Nbe0MDFR0lEKTi0uzszPAykwNq0FAD72E0AtAAAA"/>
  </w:docVars>
  <w:rsids>
    <w:rsidRoot w:val="008D48AD"/>
    <w:rsid w:val="00006BB1"/>
    <w:rsid w:val="000223E1"/>
    <w:rsid w:val="00032A53"/>
    <w:rsid w:val="00042522"/>
    <w:rsid w:val="0004270B"/>
    <w:rsid w:val="00050DC8"/>
    <w:rsid w:val="0005173A"/>
    <w:rsid w:val="00060310"/>
    <w:rsid w:val="00061205"/>
    <w:rsid w:val="00073330"/>
    <w:rsid w:val="000752CD"/>
    <w:rsid w:val="00077078"/>
    <w:rsid w:val="00077547"/>
    <w:rsid w:val="0008048E"/>
    <w:rsid w:val="0008157D"/>
    <w:rsid w:val="0008266D"/>
    <w:rsid w:val="000839A8"/>
    <w:rsid w:val="000912D9"/>
    <w:rsid w:val="000964BB"/>
    <w:rsid w:val="00097E74"/>
    <w:rsid w:val="000A0CF7"/>
    <w:rsid w:val="000A27DB"/>
    <w:rsid w:val="000A3B13"/>
    <w:rsid w:val="000A5AA4"/>
    <w:rsid w:val="000A6997"/>
    <w:rsid w:val="000B0146"/>
    <w:rsid w:val="000B0920"/>
    <w:rsid w:val="000B0DFD"/>
    <w:rsid w:val="000B5156"/>
    <w:rsid w:val="000C1107"/>
    <w:rsid w:val="000C429D"/>
    <w:rsid w:val="000C675A"/>
    <w:rsid w:val="000C7401"/>
    <w:rsid w:val="000C75D0"/>
    <w:rsid w:val="000D1D05"/>
    <w:rsid w:val="000D5714"/>
    <w:rsid w:val="000D7A27"/>
    <w:rsid w:val="000E7B9A"/>
    <w:rsid w:val="000F3AB3"/>
    <w:rsid w:val="000F46AD"/>
    <w:rsid w:val="00101A2B"/>
    <w:rsid w:val="00101CDB"/>
    <w:rsid w:val="0010418E"/>
    <w:rsid w:val="00104447"/>
    <w:rsid w:val="00104972"/>
    <w:rsid w:val="001050BE"/>
    <w:rsid w:val="00107221"/>
    <w:rsid w:val="00111FC1"/>
    <w:rsid w:val="001143D5"/>
    <w:rsid w:val="001244F3"/>
    <w:rsid w:val="001266D9"/>
    <w:rsid w:val="0013446E"/>
    <w:rsid w:val="001354F8"/>
    <w:rsid w:val="001355DA"/>
    <w:rsid w:val="00146772"/>
    <w:rsid w:val="001527A7"/>
    <w:rsid w:val="00155044"/>
    <w:rsid w:val="001558D3"/>
    <w:rsid w:val="00156C51"/>
    <w:rsid w:val="001576EB"/>
    <w:rsid w:val="00163CFC"/>
    <w:rsid w:val="0017068A"/>
    <w:rsid w:val="00170D7D"/>
    <w:rsid w:val="0017551F"/>
    <w:rsid w:val="0018225C"/>
    <w:rsid w:val="00182F4D"/>
    <w:rsid w:val="0018434A"/>
    <w:rsid w:val="00186F8F"/>
    <w:rsid w:val="00190129"/>
    <w:rsid w:val="00193CCD"/>
    <w:rsid w:val="00195EC7"/>
    <w:rsid w:val="001A0498"/>
    <w:rsid w:val="001A4BF4"/>
    <w:rsid w:val="001B34C5"/>
    <w:rsid w:val="001B3DB5"/>
    <w:rsid w:val="001D078F"/>
    <w:rsid w:val="001E1C11"/>
    <w:rsid w:val="001E6548"/>
    <w:rsid w:val="001F529F"/>
    <w:rsid w:val="00211862"/>
    <w:rsid w:val="00214C3A"/>
    <w:rsid w:val="00217211"/>
    <w:rsid w:val="0021787A"/>
    <w:rsid w:val="002203DD"/>
    <w:rsid w:val="002216AF"/>
    <w:rsid w:val="00225864"/>
    <w:rsid w:val="0022615D"/>
    <w:rsid w:val="0022639B"/>
    <w:rsid w:val="00230676"/>
    <w:rsid w:val="00230924"/>
    <w:rsid w:val="00232993"/>
    <w:rsid w:val="00234086"/>
    <w:rsid w:val="002346DF"/>
    <w:rsid w:val="00235D97"/>
    <w:rsid w:val="002510E2"/>
    <w:rsid w:val="0025116B"/>
    <w:rsid w:val="00251E2C"/>
    <w:rsid w:val="00254090"/>
    <w:rsid w:val="0025491A"/>
    <w:rsid w:val="00254F8D"/>
    <w:rsid w:val="00256FE1"/>
    <w:rsid w:val="00272464"/>
    <w:rsid w:val="00280674"/>
    <w:rsid w:val="002837D9"/>
    <w:rsid w:val="00291CC1"/>
    <w:rsid w:val="002925F1"/>
    <w:rsid w:val="00293245"/>
    <w:rsid w:val="00294311"/>
    <w:rsid w:val="0029632A"/>
    <w:rsid w:val="002A43EB"/>
    <w:rsid w:val="002A4613"/>
    <w:rsid w:val="002B1239"/>
    <w:rsid w:val="002B1D53"/>
    <w:rsid w:val="002B39D2"/>
    <w:rsid w:val="002C0814"/>
    <w:rsid w:val="002C17B5"/>
    <w:rsid w:val="002C3506"/>
    <w:rsid w:val="002C42B8"/>
    <w:rsid w:val="002D6D20"/>
    <w:rsid w:val="002D757B"/>
    <w:rsid w:val="002D7D78"/>
    <w:rsid w:val="002E39FE"/>
    <w:rsid w:val="002F044B"/>
    <w:rsid w:val="002F1625"/>
    <w:rsid w:val="002F4127"/>
    <w:rsid w:val="002F586A"/>
    <w:rsid w:val="0030119E"/>
    <w:rsid w:val="00306A70"/>
    <w:rsid w:val="00313DB0"/>
    <w:rsid w:val="003150C5"/>
    <w:rsid w:val="00323361"/>
    <w:rsid w:val="00323B6A"/>
    <w:rsid w:val="0032562E"/>
    <w:rsid w:val="00325F32"/>
    <w:rsid w:val="00333CBD"/>
    <w:rsid w:val="00334E1A"/>
    <w:rsid w:val="003417DB"/>
    <w:rsid w:val="00344B27"/>
    <w:rsid w:val="003479AA"/>
    <w:rsid w:val="00350CD6"/>
    <w:rsid w:val="00351E81"/>
    <w:rsid w:val="00357AF3"/>
    <w:rsid w:val="003774F3"/>
    <w:rsid w:val="003A0D3F"/>
    <w:rsid w:val="003A4191"/>
    <w:rsid w:val="003A4EAF"/>
    <w:rsid w:val="003A5728"/>
    <w:rsid w:val="003C1747"/>
    <w:rsid w:val="003C6406"/>
    <w:rsid w:val="003D1138"/>
    <w:rsid w:val="003E6FEB"/>
    <w:rsid w:val="003F4287"/>
    <w:rsid w:val="004144BD"/>
    <w:rsid w:val="00414F90"/>
    <w:rsid w:val="0041671F"/>
    <w:rsid w:val="00416BA5"/>
    <w:rsid w:val="00423C89"/>
    <w:rsid w:val="00426896"/>
    <w:rsid w:val="00435155"/>
    <w:rsid w:val="0044286A"/>
    <w:rsid w:val="00446B90"/>
    <w:rsid w:val="00450F2F"/>
    <w:rsid w:val="00453BD9"/>
    <w:rsid w:val="00455853"/>
    <w:rsid w:val="004570C7"/>
    <w:rsid w:val="0045715C"/>
    <w:rsid w:val="00465871"/>
    <w:rsid w:val="0046602F"/>
    <w:rsid w:val="0046603B"/>
    <w:rsid w:val="004707B1"/>
    <w:rsid w:val="00472D39"/>
    <w:rsid w:val="004762FE"/>
    <w:rsid w:val="004807B1"/>
    <w:rsid w:val="00493F12"/>
    <w:rsid w:val="00495058"/>
    <w:rsid w:val="004960DD"/>
    <w:rsid w:val="004A2D18"/>
    <w:rsid w:val="004B0809"/>
    <w:rsid w:val="004B528D"/>
    <w:rsid w:val="004C4067"/>
    <w:rsid w:val="004D356F"/>
    <w:rsid w:val="004D3FEF"/>
    <w:rsid w:val="004D6428"/>
    <w:rsid w:val="004F17AD"/>
    <w:rsid w:val="004F613F"/>
    <w:rsid w:val="00500E33"/>
    <w:rsid w:val="00502D3A"/>
    <w:rsid w:val="005051BA"/>
    <w:rsid w:val="00505E4E"/>
    <w:rsid w:val="00515CC3"/>
    <w:rsid w:val="0053096A"/>
    <w:rsid w:val="00535A81"/>
    <w:rsid w:val="00540B0E"/>
    <w:rsid w:val="00540DAE"/>
    <w:rsid w:val="00541306"/>
    <w:rsid w:val="005418B7"/>
    <w:rsid w:val="00555C7D"/>
    <w:rsid w:val="00566983"/>
    <w:rsid w:val="00567811"/>
    <w:rsid w:val="00571E3B"/>
    <w:rsid w:val="00576AFF"/>
    <w:rsid w:val="00580C94"/>
    <w:rsid w:val="00581190"/>
    <w:rsid w:val="0058216C"/>
    <w:rsid w:val="005839CB"/>
    <w:rsid w:val="005867AD"/>
    <w:rsid w:val="00587E00"/>
    <w:rsid w:val="005938C8"/>
    <w:rsid w:val="0059401F"/>
    <w:rsid w:val="005947BC"/>
    <w:rsid w:val="00594B89"/>
    <w:rsid w:val="00597E5C"/>
    <w:rsid w:val="005B2918"/>
    <w:rsid w:val="005B675F"/>
    <w:rsid w:val="005C0FBE"/>
    <w:rsid w:val="005C344D"/>
    <w:rsid w:val="005D0989"/>
    <w:rsid w:val="005D4CE9"/>
    <w:rsid w:val="005F1359"/>
    <w:rsid w:val="005F2E21"/>
    <w:rsid w:val="005F435A"/>
    <w:rsid w:val="005F460D"/>
    <w:rsid w:val="005F4CAA"/>
    <w:rsid w:val="005F5A7E"/>
    <w:rsid w:val="0060369E"/>
    <w:rsid w:val="00604E9F"/>
    <w:rsid w:val="00607310"/>
    <w:rsid w:val="00630CFE"/>
    <w:rsid w:val="00633F07"/>
    <w:rsid w:val="006410F4"/>
    <w:rsid w:val="00643142"/>
    <w:rsid w:val="00646E4A"/>
    <w:rsid w:val="00651E9B"/>
    <w:rsid w:val="006569B3"/>
    <w:rsid w:val="00657FB0"/>
    <w:rsid w:val="00661678"/>
    <w:rsid w:val="0066529D"/>
    <w:rsid w:val="00665AA9"/>
    <w:rsid w:val="00674C58"/>
    <w:rsid w:val="00681E9E"/>
    <w:rsid w:val="00686D1E"/>
    <w:rsid w:val="00697388"/>
    <w:rsid w:val="006A18E4"/>
    <w:rsid w:val="006A2935"/>
    <w:rsid w:val="006A3469"/>
    <w:rsid w:val="006C758B"/>
    <w:rsid w:val="006D0FF6"/>
    <w:rsid w:val="006D4D11"/>
    <w:rsid w:val="006D6CD4"/>
    <w:rsid w:val="006E34B5"/>
    <w:rsid w:val="006E5068"/>
    <w:rsid w:val="006E612A"/>
    <w:rsid w:val="006E63C9"/>
    <w:rsid w:val="00712776"/>
    <w:rsid w:val="00721DD8"/>
    <w:rsid w:val="00724069"/>
    <w:rsid w:val="00725AA3"/>
    <w:rsid w:val="00727486"/>
    <w:rsid w:val="00736F11"/>
    <w:rsid w:val="00754508"/>
    <w:rsid w:val="00764E69"/>
    <w:rsid w:val="007666E3"/>
    <w:rsid w:val="00772A89"/>
    <w:rsid w:val="00783BE6"/>
    <w:rsid w:val="007853CC"/>
    <w:rsid w:val="0078621C"/>
    <w:rsid w:val="0078787E"/>
    <w:rsid w:val="00793238"/>
    <w:rsid w:val="00795877"/>
    <w:rsid w:val="007A051D"/>
    <w:rsid w:val="007A0D20"/>
    <w:rsid w:val="007B1234"/>
    <w:rsid w:val="007B234C"/>
    <w:rsid w:val="007B45D3"/>
    <w:rsid w:val="007B60A5"/>
    <w:rsid w:val="007B6BF6"/>
    <w:rsid w:val="007B707B"/>
    <w:rsid w:val="007C6110"/>
    <w:rsid w:val="007C7E19"/>
    <w:rsid w:val="007D7CD4"/>
    <w:rsid w:val="007E2523"/>
    <w:rsid w:val="007F5DA5"/>
    <w:rsid w:val="00803C05"/>
    <w:rsid w:val="008054E4"/>
    <w:rsid w:val="00806A24"/>
    <w:rsid w:val="00817B94"/>
    <w:rsid w:val="00823157"/>
    <w:rsid w:val="00824DC6"/>
    <w:rsid w:val="008417D3"/>
    <w:rsid w:val="008419E5"/>
    <w:rsid w:val="008503A6"/>
    <w:rsid w:val="00852159"/>
    <w:rsid w:val="00861053"/>
    <w:rsid w:val="00866E96"/>
    <w:rsid w:val="00872371"/>
    <w:rsid w:val="00872C3B"/>
    <w:rsid w:val="00872D8F"/>
    <w:rsid w:val="008854D1"/>
    <w:rsid w:val="00891575"/>
    <w:rsid w:val="0089483C"/>
    <w:rsid w:val="008A5E8C"/>
    <w:rsid w:val="008A6B50"/>
    <w:rsid w:val="008A6F59"/>
    <w:rsid w:val="008A73BC"/>
    <w:rsid w:val="008B7311"/>
    <w:rsid w:val="008C7C91"/>
    <w:rsid w:val="008D2D54"/>
    <w:rsid w:val="008D48AD"/>
    <w:rsid w:val="008E63F1"/>
    <w:rsid w:val="008F3746"/>
    <w:rsid w:val="0090025E"/>
    <w:rsid w:val="00901CAD"/>
    <w:rsid w:val="0090711F"/>
    <w:rsid w:val="00910553"/>
    <w:rsid w:val="009109C1"/>
    <w:rsid w:val="00912F05"/>
    <w:rsid w:val="00926314"/>
    <w:rsid w:val="00930BF7"/>
    <w:rsid w:val="0094355D"/>
    <w:rsid w:val="0094480E"/>
    <w:rsid w:val="0095158F"/>
    <w:rsid w:val="0095794B"/>
    <w:rsid w:val="00964193"/>
    <w:rsid w:val="009669B5"/>
    <w:rsid w:val="00971FFD"/>
    <w:rsid w:val="009767BF"/>
    <w:rsid w:val="00981742"/>
    <w:rsid w:val="00982A03"/>
    <w:rsid w:val="00982A9E"/>
    <w:rsid w:val="0098492F"/>
    <w:rsid w:val="00984E5B"/>
    <w:rsid w:val="00986F71"/>
    <w:rsid w:val="00997CC3"/>
    <w:rsid w:val="009A52C4"/>
    <w:rsid w:val="009B0C59"/>
    <w:rsid w:val="009B6217"/>
    <w:rsid w:val="009C0B90"/>
    <w:rsid w:val="009C0F61"/>
    <w:rsid w:val="009C2906"/>
    <w:rsid w:val="009C7E54"/>
    <w:rsid w:val="009D0516"/>
    <w:rsid w:val="009E747E"/>
    <w:rsid w:val="009F18E2"/>
    <w:rsid w:val="009F1AD7"/>
    <w:rsid w:val="00A02268"/>
    <w:rsid w:val="00A033E7"/>
    <w:rsid w:val="00A04F66"/>
    <w:rsid w:val="00A056D1"/>
    <w:rsid w:val="00A104A6"/>
    <w:rsid w:val="00A135C6"/>
    <w:rsid w:val="00A170AA"/>
    <w:rsid w:val="00A32598"/>
    <w:rsid w:val="00A365ED"/>
    <w:rsid w:val="00A4461D"/>
    <w:rsid w:val="00A52673"/>
    <w:rsid w:val="00A54AC7"/>
    <w:rsid w:val="00A57050"/>
    <w:rsid w:val="00A624F0"/>
    <w:rsid w:val="00A632FC"/>
    <w:rsid w:val="00A647C8"/>
    <w:rsid w:val="00A73B2A"/>
    <w:rsid w:val="00A80469"/>
    <w:rsid w:val="00A8165D"/>
    <w:rsid w:val="00A83320"/>
    <w:rsid w:val="00A84D76"/>
    <w:rsid w:val="00A87EFC"/>
    <w:rsid w:val="00AA295A"/>
    <w:rsid w:val="00AA60EF"/>
    <w:rsid w:val="00AA7B7A"/>
    <w:rsid w:val="00AB0344"/>
    <w:rsid w:val="00AB53C7"/>
    <w:rsid w:val="00AC49E0"/>
    <w:rsid w:val="00AC6487"/>
    <w:rsid w:val="00AD1C24"/>
    <w:rsid w:val="00AE285D"/>
    <w:rsid w:val="00AE4D8F"/>
    <w:rsid w:val="00AE7B5A"/>
    <w:rsid w:val="00AF0485"/>
    <w:rsid w:val="00B01E48"/>
    <w:rsid w:val="00B07CCE"/>
    <w:rsid w:val="00B116CC"/>
    <w:rsid w:val="00B11B61"/>
    <w:rsid w:val="00B15BC3"/>
    <w:rsid w:val="00B169A5"/>
    <w:rsid w:val="00B23022"/>
    <w:rsid w:val="00B25F0B"/>
    <w:rsid w:val="00B273DE"/>
    <w:rsid w:val="00B27D00"/>
    <w:rsid w:val="00B42BDB"/>
    <w:rsid w:val="00B44024"/>
    <w:rsid w:val="00B45D24"/>
    <w:rsid w:val="00B509A5"/>
    <w:rsid w:val="00B65992"/>
    <w:rsid w:val="00B85E34"/>
    <w:rsid w:val="00B90724"/>
    <w:rsid w:val="00B958BD"/>
    <w:rsid w:val="00BA2F35"/>
    <w:rsid w:val="00BB6309"/>
    <w:rsid w:val="00BB64BC"/>
    <w:rsid w:val="00BB6809"/>
    <w:rsid w:val="00BB7AF8"/>
    <w:rsid w:val="00BC05AC"/>
    <w:rsid w:val="00BC1BE7"/>
    <w:rsid w:val="00BC2112"/>
    <w:rsid w:val="00BC5D34"/>
    <w:rsid w:val="00BC6345"/>
    <w:rsid w:val="00BD333C"/>
    <w:rsid w:val="00BD35CD"/>
    <w:rsid w:val="00BE11FC"/>
    <w:rsid w:val="00BE3392"/>
    <w:rsid w:val="00BE678B"/>
    <w:rsid w:val="00BF519D"/>
    <w:rsid w:val="00BF56F6"/>
    <w:rsid w:val="00C042FA"/>
    <w:rsid w:val="00C10742"/>
    <w:rsid w:val="00C13AF5"/>
    <w:rsid w:val="00C14AA4"/>
    <w:rsid w:val="00C173AB"/>
    <w:rsid w:val="00C226B5"/>
    <w:rsid w:val="00C23364"/>
    <w:rsid w:val="00C27A83"/>
    <w:rsid w:val="00C3309F"/>
    <w:rsid w:val="00C3642E"/>
    <w:rsid w:val="00C4331B"/>
    <w:rsid w:val="00C4769C"/>
    <w:rsid w:val="00C50896"/>
    <w:rsid w:val="00C5141F"/>
    <w:rsid w:val="00C54E7B"/>
    <w:rsid w:val="00C71277"/>
    <w:rsid w:val="00C725B7"/>
    <w:rsid w:val="00C73E52"/>
    <w:rsid w:val="00C8256D"/>
    <w:rsid w:val="00C85700"/>
    <w:rsid w:val="00C93A6C"/>
    <w:rsid w:val="00C95E79"/>
    <w:rsid w:val="00CA2E6C"/>
    <w:rsid w:val="00CB20AA"/>
    <w:rsid w:val="00CB5958"/>
    <w:rsid w:val="00CC0160"/>
    <w:rsid w:val="00CC3D03"/>
    <w:rsid w:val="00CC59C2"/>
    <w:rsid w:val="00CD4B01"/>
    <w:rsid w:val="00CE1A38"/>
    <w:rsid w:val="00CE703A"/>
    <w:rsid w:val="00CF0B7E"/>
    <w:rsid w:val="00CF3115"/>
    <w:rsid w:val="00CF4CEC"/>
    <w:rsid w:val="00CF64B2"/>
    <w:rsid w:val="00CF6598"/>
    <w:rsid w:val="00D0032B"/>
    <w:rsid w:val="00D04054"/>
    <w:rsid w:val="00D06A9E"/>
    <w:rsid w:val="00D142E7"/>
    <w:rsid w:val="00D20589"/>
    <w:rsid w:val="00D25E6E"/>
    <w:rsid w:val="00D30D62"/>
    <w:rsid w:val="00D30DE7"/>
    <w:rsid w:val="00D32E71"/>
    <w:rsid w:val="00D339A6"/>
    <w:rsid w:val="00D5217F"/>
    <w:rsid w:val="00D55AEC"/>
    <w:rsid w:val="00D5665E"/>
    <w:rsid w:val="00D602E8"/>
    <w:rsid w:val="00D61A9A"/>
    <w:rsid w:val="00D6787B"/>
    <w:rsid w:val="00D72CCF"/>
    <w:rsid w:val="00D7727C"/>
    <w:rsid w:val="00D82FEC"/>
    <w:rsid w:val="00D84B91"/>
    <w:rsid w:val="00D87997"/>
    <w:rsid w:val="00DA14CE"/>
    <w:rsid w:val="00DA3FA8"/>
    <w:rsid w:val="00DA5D86"/>
    <w:rsid w:val="00DA7216"/>
    <w:rsid w:val="00DB58A2"/>
    <w:rsid w:val="00DB5D80"/>
    <w:rsid w:val="00DC15AC"/>
    <w:rsid w:val="00DC3FA0"/>
    <w:rsid w:val="00DC4AB6"/>
    <w:rsid w:val="00DC73DF"/>
    <w:rsid w:val="00DD0000"/>
    <w:rsid w:val="00DD4377"/>
    <w:rsid w:val="00DD5B63"/>
    <w:rsid w:val="00DE44EA"/>
    <w:rsid w:val="00DE63FC"/>
    <w:rsid w:val="00DF1414"/>
    <w:rsid w:val="00DF2620"/>
    <w:rsid w:val="00E0141C"/>
    <w:rsid w:val="00E02B90"/>
    <w:rsid w:val="00E06042"/>
    <w:rsid w:val="00E15F69"/>
    <w:rsid w:val="00E26382"/>
    <w:rsid w:val="00E32B51"/>
    <w:rsid w:val="00E345D5"/>
    <w:rsid w:val="00E34E1A"/>
    <w:rsid w:val="00E433A3"/>
    <w:rsid w:val="00E439DC"/>
    <w:rsid w:val="00E451EE"/>
    <w:rsid w:val="00E45928"/>
    <w:rsid w:val="00E55FBD"/>
    <w:rsid w:val="00E64975"/>
    <w:rsid w:val="00E7130C"/>
    <w:rsid w:val="00E71FBF"/>
    <w:rsid w:val="00E77603"/>
    <w:rsid w:val="00E8113E"/>
    <w:rsid w:val="00E81D97"/>
    <w:rsid w:val="00E96918"/>
    <w:rsid w:val="00EA07D5"/>
    <w:rsid w:val="00EB6B1C"/>
    <w:rsid w:val="00EC1C2B"/>
    <w:rsid w:val="00EC3302"/>
    <w:rsid w:val="00ED0946"/>
    <w:rsid w:val="00ED1168"/>
    <w:rsid w:val="00ED358F"/>
    <w:rsid w:val="00ED6834"/>
    <w:rsid w:val="00ED7E78"/>
    <w:rsid w:val="00EE766C"/>
    <w:rsid w:val="00EF1BCC"/>
    <w:rsid w:val="00EF32A3"/>
    <w:rsid w:val="00EF57C9"/>
    <w:rsid w:val="00EF726D"/>
    <w:rsid w:val="00F04498"/>
    <w:rsid w:val="00F0723F"/>
    <w:rsid w:val="00F07B60"/>
    <w:rsid w:val="00F13666"/>
    <w:rsid w:val="00F14137"/>
    <w:rsid w:val="00F21C5E"/>
    <w:rsid w:val="00F23F52"/>
    <w:rsid w:val="00F241D1"/>
    <w:rsid w:val="00F260F3"/>
    <w:rsid w:val="00F30F51"/>
    <w:rsid w:val="00F33F4A"/>
    <w:rsid w:val="00F34167"/>
    <w:rsid w:val="00F368C0"/>
    <w:rsid w:val="00F40ECA"/>
    <w:rsid w:val="00F44F0F"/>
    <w:rsid w:val="00F463DB"/>
    <w:rsid w:val="00F53AA9"/>
    <w:rsid w:val="00F57C25"/>
    <w:rsid w:val="00F620F0"/>
    <w:rsid w:val="00F64C94"/>
    <w:rsid w:val="00F6745D"/>
    <w:rsid w:val="00F678FA"/>
    <w:rsid w:val="00F719C2"/>
    <w:rsid w:val="00F72159"/>
    <w:rsid w:val="00F73377"/>
    <w:rsid w:val="00F7656B"/>
    <w:rsid w:val="00FA0C71"/>
    <w:rsid w:val="00FB1B87"/>
    <w:rsid w:val="00FB1EAC"/>
    <w:rsid w:val="00FB36B7"/>
    <w:rsid w:val="00FC00B9"/>
    <w:rsid w:val="00FC10FE"/>
    <w:rsid w:val="00FC3901"/>
    <w:rsid w:val="00FC5299"/>
    <w:rsid w:val="00FC77FA"/>
    <w:rsid w:val="00FC7C7B"/>
    <w:rsid w:val="00FD293B"/>
    <w:rsid w:val="00FD55BE"/>
    <w:rsid w:val="00FD7254"/>
    <w:rsid w:val="00FE497D"/>
    <w:rsid w:val="00FE729D"/>
    <w:rsid w:val="00FF1609"/>
    <w:rsid w:val="00FF19E2"/>
    <w:rsid w:val="00FF7D28"/>
    <w:rsid w:val="01A1E78A"/>
    <w:rsid w:val="0268A986"/>
    <w:rsid w:val="03248F8E"/>
    <w:rsid w:val="0DB77902"/>
    <w:rsid w:val="0E674235"/>
    <w:rsid w:val="10B30D8A"/>
    <w:rsid w:val="163B25F5"/>
    <w:rsid w:val="190D78DC"/>
    <w:rsid w:val="1A0EC3E7"/>
    <w:rsid w:val="1B348A66"/>
    <w:rsid w:val="1F4755A7"/>
    <w:rsid w:val="1F65D626"/>
    <w:rsid w:val="224BD958"/>
    <w:rsid w:val="27BD13D5"/>
    <w:rsid w:val="28C2ABD3"/>
    <w:rsid w:val="2D34B932"/>
    <w:rsid w:val="32ADB2A7"/>
    <w:rsid w:val="3767FB6D"/>
    <w:rsid w:val="377AC9AE"/>
    <w:rsid w:val="3A5F7909"/>
    <w:rsid w:val="3E7296A4"/>
    <w:rsid w:val="3F76E7A1"/>
    <w:rsid w:val="44ABFC01"/>
    <w:rsid w:val="46D611C9"/>
    <w:rsid w:val="47F3F311"/>
    <w:rsid w:val="49418A0A"/>
    <w:rsid w:val="4FCE8791"/>
    <w:rsid w:val="506E3655"/>
    <w:rsid w:val="556AF11A"/>
    <w:rsid w:val="55CA482E"/>
    <w:rsid w:val="5B179948"/>
    <w:rsid w:val="5BDF5AD8"/>
    <w:rsid w:val="5E455446"/>
    <w:rsid w:val="5FCDF628"/>
    <w:rsid w:val="6136E9FC"/>
    <w:rsid w:val="6168145C"/>
    <w:rsid w:val="636ABD5E"/>
    <w:rsid w:val="66AA8594"/>
    <w:rsid w:val="6AD8BA3C"/>
    <w:rsid w:val="71C7393C"/>
    <w:rsid w:val="7233D12D"/>
    <w:rsid w:val="73B67931"/>
    <w:rsid w:val="761B6CE3"/>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EC3118"/>
  <w15:docId w15:val="{DD2CF0C0-2F57-4280-B4AD-18968F99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0912D9"/>
  </w:style>
  <w:style w:type="paragraph" w:styleId="berschrift1">
    <w:name w:val="heading 1"/>
    <w:aliases w:val="woa-h1-new,Tirift 1,eu_u1_neu,überschrift 1,heading1,OFP1,heading 1"/>
    <w:basedOn w:val="Standard"/>
    <w:next w:val="Standard"/>
    <w:link w:val="berschrift1Zchn"/>
    <w:qFormat/>
    <w:rsid w:val="00ED358F"/>
    <w:pPr>
      <w:pageBreakBefore/>
      <w:widowControl w:val="0"/>
      <w:tabs>
        <w:tab w:val="left" w:pos="3067"/>
      </w:tabs>
      <w:spacing w:before="120" w:after="400" w:line="240" w:lineRule="auto"/>
      <w:outlineLvl w:val="0"/>
    </w:pPr>
    <w:rPr>
      <w:rFonts w:ascii="Gill Sans MT" w:eastAsia="MS Mincho" w:hAnsi="Gill Sans MT" w:cs="Times New Roman"/>
      <w:b/>
      <w:color w:val="000000"/>
      <w:sz w:val="28"/>
      <w:szCs w:val="20"/>
      <w:lang w:val="en-GB" w:eastAsia="de-CH"/>
    </w:rPr>
  </w:style>
  <w:style w:type="paragraph" w:styleId="berschrift2">
    <w:name w:val="heading 2"/>
    <w:basedOn w:val="Standard"/>
    <w:next w:val="Standard"/>
    <w:link w:val="berschrift2Zchn"/>
    <w:uiPriority w:val="9"/>
    <w:semiHidden/>
    <w:qFormat/>
    <w:rsid w:val="001527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qFormat/>
    <w:rsid w:val="00D339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styleId="Kommentarzeichen">
    <w:name w:val="annotation reference"/>
    <w:basedOn w:val="Absatz-Standardschriftart"/>
    <w:uiPriority w:val="99"/>
    <w:semiHidden/>
    <w:unhideWhenUsed/>
    <w:rsid w:val="00E8113E"/>
    <w:rPr>
      <w:sz w:val="16"/>
      <w:szCs w:val="16"/>
    </w:rPr>
  </w:style>
  <w:style w:type="paragraph" w:styleId="Kommentartext">
    <w:name w:val="annotation text"/>
    <w:basedOn w:val="Standard"/>
    <w:link w:val="KommentartextZchn"/>
    <w:uiPriority w:val="99"/>
    <w:unhideWhenUsed/>
    <w:rsid w:val="00E8113E"/>
    <w:pPr>
      <w:spacing w:line="240" w:lineRule="auto"/>
    </w:pPr>
    <w:rPr>
      <w:sz w:val="20"/>
      <w:szCs w:val="20"/>
    </w:rPr>
  </w:style>
  <w:style w:type="character" w:customStyle="1" w:styleId="KommentartextZchn">
    <w:name w:val="Kommentartext Zchn"/>
    <w:basedOn w:val="Absatz-Standardschriftart"/>
    <w:link w:val="Kommentartext"/>
    <w:uiPriority w:val="99"/>
    <w:rsid w:val="00E8113E"/>
    <w:rPr>
      <w:sz w:val="20"/>
      <w:szCs w:val="20"/>
    </w:rPr>
  </w:style>
  <w:style w:type="paragraph" w:styleId="Kommentarthema">
    <w:name w:val="annotation subject"/>
    <w:basedOn w:val="Kommentartext"/>
    <w:next w:val="Kommentartext"/>
    <w:link w:val="KommentarthemaZchn"/>
    <w:uiPriority w:val="99"/>
    <w:semiHidden/>
    <w:unhideWhenUsed/>
    <w:rsid w:val="00E8113E"/>
    <w:rPr>
      <w:b/>
      <w:bCs/>
    </w:rPr>
  </w:style>
  <w:style w:type="character" w:customStyle="1" w:styleId="KommentarthemaZchn">
    <w:name w:val="Kommentarthema Zchn"/>
    <w:basedOn w:val="KommentartextZchn"/>
    <w:link w:val="Kommentarthema"/>
    <w:uiPriority w:val="99"/>
    <w:semiHidden/>
    <w:rsid w:val="00E8113E"/>
    <w:rPr>
      <w:b/>
      <w:bCs/>
      <w:sz w:val="20"/>
      <w:szCs w:val="20"/>
    </w:rPr>
  </w:style>
  <w:style w:type="character" w:customStyle="1" w:styleId="berschrift1Zchn">
    <w:name w:val="Überschrift 1 Zchn"/>
    <w:aliases w:val="woa-h1-new Zchn,Tirift 1 Zchn,eu_u1_neu Zchn,überschrift 1 Zchn,heading1 Zchn,OFP1 Zchn,heading 1 Zchn"/>
    <w:basedOn w:val="Absatz-Standardschriftart"/>
    <w:link w:val="berschrift1"/>
    <w:rsid w:val="00ED358F"/>
    <w:rPr>
      <w:rFonts w:ascii="Gill Sans MT" w:eastAsia="MS Mincho" w:hAnsi="Gill Sans MT" w:cs="Times New Roman"/>
      <w:b/>
      <w:color w:val="000000"/>
      <w:sz w:val="28"/>
      <w:szCs w:val="20"/>
      <w:lang w:val="en-GB" w:eastAsia="de-CH"/>
    </w:rPr>
  </w:style>
  <w:style w:type="paragraph" w:customStyle="1" w:styleId="fiblmodul">
    <w:name w:val="fibl_modul"/>
    <w:basedOn w:val="Standard"/>
    <w:next w:val="Standard"/>
    <w:semiHidden/>
    <w:qFormat/>
    <w:rsid w:val="00ED358F"/>
    <w:pPr>
      <w:numPr>
        <w:numId w:val="5"/>
      </w:numPr>
      <w:tabs>
        <w:tab w:val="clear" w:pos="720"/>
        <w:tab w:val="num" w:pos="360"/>
      </w:tabs>
      <w:spacing w:after="360" w:line="400" w:lineRule="atLeast"/>
      <w:ind w:left="0" w:firstLine="0"/>
      <w:contextualSpacing/>
    </w:pPr>
    <w:rPr>
      <w:rFonts w:ascii="Times" w:eastAsia="Times New Roman" w:hAnsi="Times" w:cs="Arial"/>
      <w:b/>
      <w:color w:val="00B091"/>
      <w:sz w:val="36"/>
      <w:szCs w:val="32"/>
      <w:lang w:val="en-GB" w:eastAsia="de-CH"/>
    </w:rPr>
  </w:style>
  <w:style w:type="paragraph" w:customStyle="1" w:styleId="spacer">
    <w:name w:val="spacer"/>
    <w:basedOn w:val="Standard"/>
    <w:semiHidden/>
    <w:qFormat/>
    <w:rsid w:val="00ED358F"/>
    <w:pPr>
      <w:tabs>
        <w:tab w:val="right" w:pos="9360"/>
      </w:tabs>
      <w:spacing w:after="0" w:line="240" w:lineRule="auto"/>
    </w:pPr>
    <w:rPr>
      <w:rFonts w:ascii="Times" w:eastAsia="Times New Roman" w:hAnsi="Times" w:cs="Times New Roman"/>
      <w:sz w:val="4"/>
      <w:szCs w:val="4"/>
      <w:lang w:val="en-GB" w:eastAsia="de-CH"/>
    </w:rPr>
  </w:style>
  <w:style w:type="paragraph" w:customStyle="1" w:styleId="woa-table-headline">
    <w:name w:val="woa-table-headline"/>
    <w:basedOn w:val="Standard"/>
    <w:next w:val="Standard"/>
    <w:link w:val="woa-table-headlineChar"/>
    <w:rsid w:val="00ED358F"/>
    <w:pPr>
      <w:keepNext/>
      <w:tabs>
        <w:tab w:val="left" w:pos="3060"/>
        <w:tab w:val="left" w:pos="6120"/>
      </w:tabs>
      <w:spacing w:before="240" w:after="120" w:line="240" w:lineRule="auto"/>
      <w:jc w:val="both"/>
    </w:pPr>
    <w:rPr>
      <w:rFonts w:ascii="Gill Sans MT" w:eastAsia="MS Mincho" w:hAnsi="Gill Sans MT" w:cs="Arial"/>
      <w:b/>
      <w:snapToGrid w:val="0"/>
      <w:color w:val="000000"/>
      <w:sz w:val="18"/>
      <w:lang w:val="en-US" w:eastAsia="de-CH"/>
    </w:rPr>
  </w:style>
  <w:style w:type="paragraph" w:customStyle="1" w:styleId="woa-table-text">
    <w:name w:val="woa-table-text"/>
    <w:basedOn w:val="Standard"/>
    <w:link w:val="woa-table-textChar"/>
    <w:qFormat/>
    <w:rsid w:val="00ED358F"/>
    <w:pPr>
      <w:keepLines/>
      <w:tabs>
        <w:tab w:val="left" w:pos="3060"/>
        <w:tab w:val="left" w:pos="6120"/>
      </w:tabs>
      <w:spacing w:before="20" w:after="20" w:line="240" w:lineRule="auto"/>
    </w:pPr>
    <w:rPr>
      <w:rFonts w:ascii="Gill Sans MT" w:eastAsia="MS Mincho" w:hAnsi="Gill Sans MT" w:cs="Times New Roman"/>
      <w:snapToGrid w:val="0"/>
      <w:color w:val="000000"/>
      <w:sz w:val="15"/>
      <w:szCs w:val="12"/>
      <w:lang w:val="en-US" w:eastAsia="x-none"/>
    </w:rPr>
  </w:style>
  <w:style w:type="paragraph" w:styleId="Aufzhlungszeichen3">
    <w:name w:val="List Bullet 3"/>
    <w:basedOn w:val="Standard"/>
    <w:autoRedefine/>
    <w:uiPriority w:val="99"/>
    <w:semiHidden/>
    <w:rsid w:val="00ED358F"/>
    <w:pPr>
      <w:numPr>
        <w:numId w:val="6"/>
      </w:numPr>
      <w:spacing w:after="0" w:line="240" w:lineRule="auto"/>
    </w:pPr>
    <w:rPr>
      <w:rFonts w:ascii="Times" w:eastAsia="Times New Roman" w:hAnsi="Times" w:cs="Times New Roman"/>
      <w:sz w:val="20"/>
      <w:szCs w:val="20"/>
      <w:lang w:val="en-GB" w:eastAsia="de-CH"/>
    </w:rPr>
  </w:style>
  <w:style w:type="character" w:customStyle="1" w:styleId="woa-table-textChar">
    <w:name w:val="woa-table-text Char"/>
    <w:link w:val="woa-table-text"/>
    <w:rsid w:val="00ED358F"/>
    <w:rPr>
      <w:rFonts w:ascii="Gill Sans MT" w:eastAsia="MS Mincho" w:hAnsi="Gill Sans MT" w:cs="Times New Roman"/>
      <w:snapToGrid w:val="0"/>
      <w:color w:val="000000"/>
      <w:sz w:val="15"/>
      <w:szCs w:val="12"/>
      <w:lang w:val="en-US" w:eastAsia="x-none"/>
    </w:rPr>
  </w:style>
  <w:style w:type="character" w:customStyle="1" w:styleId="woa-table-headlineChar">
    <w:name w:val="woa-table-headline Char"/>
    <w:link w:val="woa-table-headline"/>
    <w:rsid w:val="00ED358F"/>
    <w:rPr>
      <w:rFonts w:ascii="Gill Sans MT" w:eastAsia="MS Mincho" w:hAnsi="Gill Sans MT" w:cs="Arial"/>
      <w:b/>
      <w:snapToGrid w:val="0"/>
      <w:color w:val="000000"/>
      <w:sz w:val="18"/>
      <w:lang w:val="en-US" w:eastAsia="de-CH"/>
    </w:rPr>
  </w:style>
  <w:style w:type="table" w:customStyle="1" w:styleId="woatable">
    <w:name w:val="woa_table"/>
    <w:basedOn w:val="NormaleTabelle"/>
    <w:uiPriority w:val="63"/>
    <w:rsid w:val="00ED358F"/>
    <w:pPr>
      <w:spacing w:before="20" w:after="20" w:line="240" w:lineRule="auto"/>
    </w:pPr>
    <w:rPr>
      <w:rFonts w:ascii="Gill Sans MT" w:eastAsia="Calibri" w:hAnsi="Gill Sans MT" w:cs="Times New Roman"/>
      <w:sz w:val="15"/>
      <w:lang w:val="en-GB" w:eastAsia="en-US"/>
    </w:rPr>
    <w:tblPr>
      <w:tblStyleRowBandSize w:val="1"/>
      <w:tblStyleColBandSize w:val="1"/>
      <w:tblBorders>
        <w:bottom w:val="single" w:sz="8" w:space="0" w:color="256C8E"/>
      </w:tblBorders>
    </w:tblPr>
    <w:tblStylePr w:type="firstRow">
      <w:pPr>
        <w:wordWrap/>
        <w:spacing w:beforeLines="20" w:before="20" w:beforeAutospacing="0" w:afterLines="20" w:after="20" w:afterAutospacing="0" w:line="240" w:lineRule="auto"/>
      </w:pPr>
      <w:rPr>
        <w:rFonts w:ascii="Gill Sans MT" w:hAnsi="Gill Sans MT"/>
        <w:b w:val="0"/>
        <w:bCs/>
        <w:color w:val="auto"/>
        <w:sz w:val="15"/>
      </w:rPr>
      <w:tblPr/>
      <w:tcPr>
        <w:tcBorders>
          <w:top w:val="single" w:sz="8" w:space="0" w:color="2F6C86"/>
          <w:bottom w:val="single" w:sz="8" w:space="0" w:color="2F6C86"/>
        </w:tcBorders>
        <w:shd w:val="clear" w:color="auto" w:fill="FFFFFF" w:themeFill="background1"/>
      </w:tcPr>
    </w:tblStylePr>
    <w:tblStylePr w:type="lastRow">
      <w:pPr>
        <w:spacing w:before="0" w:after="0" w:line="240" w:lineRule="auto"/>
      </w:pPr>
      <w:rPr>
        <w:b w:val="0"/>
        <w:bCs/>
      </w:rPr>
      <w:tblPr/>
      <w:tcPr>
        <w:tcBorders>
          <w:top w:val="nil"/>
          <w:left w:val="nil"/>
          <w:bottom w:val="single" w:sz="6" w:space="0" w:color="2F6C86"/>
          <w:right w:val="nil"/>
          <w:insideH w:val="nil"/>
          <w:insideV w:val="nil"/>
          <w:tl2br w:val="nil"/>
          <w:tr2bl w:val="nil"/>
        </w:tcBorders>
      </w:tcPr>
    </w:tblStylePr>
    <w:tblStylePr w:type="firstCol">
      <w:rPr>
        <w:b w:val="0"/>
        <w:bCs/>
      </w:rPr>
    </w:tblStylePr>
    <w:tblStylePr w:type="lastCol">
      <w:rPr>
        <w:b w:val="0"/>
        <w:bCs/>
      </w:rPr>
      <w:tblPr/>
      <w:tcPr>
        <w:tcBorders>
          <w:top w:val="nil"/>
          <w:left w:val="nil"/>
          <w:bottom w:val="single" w:sz="6" w:space="0" w:color="2F6C86"/>
          <w:right w:val="nil"/>
          <w:insideH w:val="nil"/>
          <w:insideV w:val="nil"/>
          <w:tl2br w:val="nil"/>
          <w:tr2bl w:val="nil"/>
        </w:tcBorders>
      </w:tcPr>
    </w:tblStylePr>
    <w:tblStylePr w:type="band1Vert">
      <w:tblPr/>
      <w:tcPr>
        <w:shd w:val="clear" w:color="auto" w:fill="E1EDF2"/>
      </w:tcPr>
    </w:tblStylePr>
    <w:tblStylePr w:type="band1Horz">
      <w:tblPr/>
      <w:tcPr>
        <w:shd w:val="clear" w:color="auto" w:fill="E1EDF2"/>
      </w:tcPr>
    </w:tblStylePr>
    <w:tblStylePr w:type="band2Horz">
      <w:tblPr/>
      <w:tcPr>
        <w:tcBorders>
          <w:insideH w:val="nil"/>
          <w:insideV w:val="nil"/>
        </w:tcBorders>
      </w:tcPr>
    </w:tblStylePr>
  </w:style>
  <w:style w:type="paragraph" w:styleId="Zitat">
    <w:name w:val="Quote"/>
    <w:basedOn w:val="Standard"/>
    <w:next w:val="Standard"/>
    <w:link w:val="ZitatZchn"/>
    <w:uiPriority w:val="29"/>
    <w:qFormat/>
    <w:rsid w:val="00ED358F"/>
    <w:rPr>
      <w:i/>
      <w:iCs/>
      <w:color w:val="000000" w:themeColor="text1"/>
    </w:rPr>
  </w:style>
  <w:style w:type="character" w:customStyle="1" w:styleId="ZitatZchn">
    <w:name w:val="Zitat Zchn"/>
    <w:basedOn w:val="Absatz-Standardschriftart"/>
    <w:link w:val="Zitat"/>
    <w:uiPriority w:val="29"/>
    <w:rsid w:val="00ED358F"/>
    <w:rPr>
      <w:i/>
      <w:iCs/>
      <w:color w:val="000000" w:themeColor="text1"/>
    </w:rPr>
  </w:style>
  <w:style w:type="paragraph" w:customStyle="1" w:styleId="eulogos">
    <w:name w:val="eu_logos"/>
    <w:basedOn w:val="Standard"/>
    <w:semiHidden/>
    <w:qFormat/>
    <w:rsid w:val="0029632A"/>
    <w:pPr>
      <w:framePr w:w="8618" w:h="2268" w:hRule="exact" w:wrap="around" w:hAnchor="margin" w:yAlign="top" w:anchorLock="1"/>
      <w:shd w:val="solid" w:color="FFFFFF" w:fill="FFFFFF"/>
      <w:tabs>
        <w:tab w:val="left" w:pos="3060"/>
        <w:tab w:val="left" w:pos="6120"/>
      </w:tabs>
      <w:spacing w:before="80" w:after="80" w:line="240" w:lineRule="auto"/>
      <w:jc w:val="right"/>
    </w:pPr>
    <w:rPr>
      <w:rFonts w:ascii="Palatino Linotype" w:eastAsia="MS Mincho" w:hAnsi="Palatino Linotype" w:cs="Times New Roman"/>
      <w:snapToGrid w:val="0"/>
      <w:sz w:val="19"/>
      <w:szCs w:val="18"/>
      <w:lang w:val="en-GB" w:eastAsia="x-none"/>
    </w:rPr>
  </w:style>
  <w:style w:type="character" w:customStyle="1" w:styleId="NichtaufgelsteErwhnung1">
    <w:name w:val="Nicht aufgelöste Erwähnung1"/>
    <w:basedOn w:val="Absatz-Standardschriftart"/>
    <w:uiPriority w:val="99"/>
    <w:semiHidden/>
    <w:unhideWhenUsed/>
    <w:rsid w:val="00E7130C"/>
    <w:rPr>
      <w:color w:val="605E5C"/>
      <w:shd w:val="clear" w:color="auto" w:fill="E1DFDD"/>
    </w:rPr>
  </w:style>
  <w:style w:type="character" w:customStyle="1" w:styleId="UnresolvedMention1">
    <w:name w:val="Unresolved Mention1"/>
    <w:basedOn w:val="Absatz-Standardschriftart"/>
    <w:uiPriority w:val="99"/>
    <w:semiHidden/>
    <w:unhideWhenUsed/>
    <w:rsid w:val="002C17B5"/>
    <w:rPr>
      <w:color w:val="605E5C"/>
      <w:shd w:val="clear" w:color="auto" w:fill="E1DFDD"/>
    </w:rPr>
  </w:style>
  <w:style w:type="character" w:customStyle="1" w:styleId="Mention1">
    <w:name w:val="Mention1"/>
    <w:basedOn w:val="Absatz-Standardschriftart"/>
    <w:uiPriority w:val="99"/>
    <w:unhideWhenUsed/>
    <w:rPr>
      <w:color w:val="2B579A"/>
      <w:shd w:val="clear" w:color="auto" w:fill="E6E6E6"/>
    </w:rPr>
  </w:style>
  <w:style w:type="paragraph" w:styleId="berarbeitung">
    <w:name w:val="Revision"/>
    <w:hidden/>
    <w:uiPriority w:val="99"/>
    <w:semiHidden/>
    <w:rsid w:val="00073330"/>
    <w:pPr>
      <w:spacing w:after="0" w:line="240" w:lineRule="auto"/>
    </w:pPr>
  </w:style>
  <w:style w:type="character" w:customStyle="1" w:styleId="UnresolvedMention2">
    <w:name w:val="Unresolved Mention2"/>
    <w:basedOn w:val="Absatz-Standardschriftart"/>
    <w:uiPriority w:val="99"/>
    <w:semiHidden/>
    <w:unhideWhenUsed/>
    <w:rsid w:val="00515CC3"/>
    <w:rPr>
      <w:color w:val="605E5C"/>
      <w:shd w:val="clear" w:color="auto" w:fill="E1DFDD"/>
    </w:rPr>
  </w:style>
  <w:style w:type="character" w:customStyle="1" w:styleId="woa-footnoteChar">
    <w:name w:val="woa-footnote Char"/>
    <w:link w:val="woa-footnote"/>
    <w:locked/>
    <w:rsid w:val="007B60A5"/>
    <w:rPr>
      <w:rFonts w:ascii="Palatino Linotype" w:hAnsi="Palatino Linotype" w:cs="Arial"/>
      <w:bCs/>
      <w:color w:val="000000"/>
      <w:sz w:val="15"/>
      <w:lang w:val="en-GB" w:eastAsia="de-DE"/>
    </w:rPr>
  </w:style>
  <w:style w:type="paragraph" w:customStyle="1" w:styleId="woa-footnote">
    <w:name w:val="woa-footnote"/>
    <w:basedOn w:val="Standard"/>
    <w:link w:val="woa-footnoteChar"/>
    <w:qFormat/>
    <w:rsid w:val="007B60A5"/>
    <w:pPr>
      <w:spacing w:after="0" w:line="240" w:lineRule="auto"/>
    </w:pPr>
    <w:rPr>
      <w:rFonts w:ascii="Palatino Linotype" w:hAnsi="Palatino Linotype" w:cs="Arial"/>
      <w:bCs/>
      <w:color w:val="000000"/>
      <w:sz w:val="15"/>
      <w:lang w:val="en-GB" w:eastAsia="de-DE"/>
    </w:rPr>
  </w:style>
  <w:style w:type="character" w:styleId="Funotenzeichen">
    <w:name w:val="footnote reference"/>
    <w:aliases w:val="Ref,de nota al pie,Referencia nota al pie,Footnote Reference/,EN Footnote Reference,Times 10 Point,Exposant 3 Point,Footnote symbol,Footnote reference number,note TESI,stylish,SUPERS,number,no...,Footnote"/>
    <w:uiPriority w:val="99"/>
    <w:semiHidden/>
    <w:unhideWhenUsed/>
    <w:qFormat/>
    <w:rsid w:val="007B60A5"/>
    <w:rPr>
      <w:vertAlign w:val="superscript"/>
    </w:rPr>
  </w:style>
  <w:style w:type="character" w:customStyle="1" w:styleId="UnresolvedMention3">
    <w:name w:val="Unresolved Mention3"/>
    <w:basedOn w:val="Absatz-Standardschriftart"/>
    <w:uiPriority w:val="99"/>
    <w:semiHidden/>
    <w:unhideWhenUsed/>
    <w:rsid w:val="004F17AD"/>
    <w:rPr>
      <w:color w:val="605E5C"/>
      <w:shd w:val="clear" w:color="auto" w:fill="E1DFDD"/>
    </w:rPr>
  </w:style>
  <w:style w:type="character" w:customStyle="1" w:styleId="eop">
    <w:name w:val="eop"/>
    <w:basedOn w:val="Absatz-Standardschriftart"/>
    <w:rsid w:val="00772A89"/>
  </w:style>
  <w:style w:type="paragraph" w:styleId="Listenabsatz">
    <w:name w:val="List Paragraph"/>
    <w:basedOn w:val="Standard"/>
    <w:uiPriority w:val="34"/>
    <w:qFormat/>
    <w:rsid w:val="007853CC"/>
    <w:pPr>
      <w:ind w:left="720"/>
      <w:contextualSpacing/>
    </w:pPr>
  </w:style>
  <w:style w:type="character" w:customStyle="1" w:styleId="berschrift3Zchn">
    <w:name w:val="Überschrift 3 Zchn"/>
    <w:basedOn w:val="Absatz-Standardschriftart"/>
    <w:link w:val="berschrift3"/>
    <w:uiPriority w:val="9"/>
    <w:semiHidden/>
    <w:rsid w:val="00D339A6"/>
    <w:rPr>
      <w:rFonts w:asciiTheme="majorHAnsi" w:eastAsiaTheme="majorEastAsia" w:hAnsiTheme="majorHAnsi" w:cstheme="majorBidi"/>
      <w:color w:val="1F4D78" w:themeColor="accent1" w:themeShade="7F"/>
      <w:sz w:val="24"/>
      <w:szCs w:val="24"/>
    </w:rPr>
  </w:style>
  <w:style w:type="character" w:customStyle="1" w:styleId="woa-standardChar">
    <w:name w:val="woa-standard Char"/>
    <w:link w:val="woa-standard"/>
    <w:locked/>
    <w:rsid w:val="00BC2112"/>
    <w:rPr>
      <w:rFonts w:ascii="Palatino Linotype" w:eastAsia="MS Mincho" w:hAnsi="Palatino Linotype"/>
      <w:sz w:val="19"/>
      <w:szCs w:val="18"/>
      <w:lang w:val="en-GB" w:eastAsia="x-none"/>
    </w:rPr>
  </w:style>
  <w:style w:type="paragraph" w:customStyle="1" w:styleId="woa-standard">
    <w:name w:val="woa-standard"/>
    <w:basedOn w:val="Standard"/>
    <w:link w:val="woa-standardChar"/>
    <w:qFormat/>
    <w:rsid w:val="00BC2112"/>
    <w:pPr>
      <w:tabs>
        <w:tab w:val="left" w:pos="3060"/>
        <w:tab w:val="left" w:pos="6120"/>
      </w:tabs>
      <w:snapToGrid w:val="0"/>
      <w:spacing w:before="40" w:after="40" w:line="240" w:lineRule="auto"/>
      <w:jc w:val="both"/>
    </w:pPr>
    <w:rPr>
      <w:rFonts w:ascii="Palatino Linotype" w:eastAsia="MS Mincho" w:hAnsi="Palatino Linotype"/>
      <w:sz w:val="19"/>
      <w:szCs w:val="18"/>
      <w:lang w:val="en-GB" w:eastAsia="x-none"/>
    </w:rPr>
  </w:style>
  <w:style w:type="character" w:customStyle="1" w:styleId="UnresolvedMention4">
    <w:name w:val="Unresolved Mention4"/>
    <w:basedOn w:val="Absatz-Standardschriftart"/>
    <w:uiPriority w:val="99"/>
    <w:semiHidden/>
    <w:unhideWhenUsed/>
    <w:rsid w:val="001527A7"/>
    <w:rPr>
      <w:color w:val="605E5C"/>
      <w:shd w:val="clear" w:color="auto" w:fill="E1DFDD"/>
    </w:rPr>
  </w:style>
  <w:style w:type="character" w:customStyle="1" w:styleId="berschrift2Zchn">
    <w:name w:val="Überschrift 2 Zchn"/>
    <w:basedOn w:val="Absatz-Standardschriftart"/>
    <w:link w:val="berschrift2"/>
    <w:uiPriority w:val="9"/>
    <w:semiHidden/>
    <w:rsid w:val="001527A7"/>
    <w:rPr>
      <w:rFonts w:asciiTheme="majorHAnsi" w:eastAsiaTheme="majorEastAsia" w:hAnsiTheme="majorHAnsi" w:cstheme="majorBidi"/>
      <w:color w:val="2E74B5" w:themeColor="accent1" w:themeShade="BF"/>
      <w:sz w:val="26"/>
      <w:szCs w:val="26"/>
    </w:rPr>
  </w:style>
  <w:style w:type="table" w:customStyle="1" w:styleId="woatable1">
    <w:name w:val="woa_table1"/>
    <w:basedOn w:val="NormaleTabelle"/>
    <w:uiPriority w:val="63"/>
    <w:rsid w:val="000F3AB3"/>
    <w:pPr>
      <w:spacing w:before="20" w:after="20" w:line="240" w:lineRule="auto"/>
    </w:pPr>
    <w:rPr>
      <w:rFonts w:ascii="Gill Sans MT" w:eastAsia="Calibri" w:hAnsi="Gill Sans MT" w:cs="Times"/>
      <w:sz w:val="13"/>
      <w:lang w:val="en-GB" w:eastAsia="en-US"/>
    </w:rPr>
    <w:tblPr>
      <w:tblStyleRowBandSize w:val="1"/>
      <w:tblInd w:w="0" w:type="nil"/>
      <w:tblBorders>
        <w:bottom w:val="single" w:sz="8" w:space="0" w:color="256C8E"/>
      </w:tblBorders>
    </w:tblPr>
    <w:tblStylePr w:type="firstRow">
      <w:pPr>
        <w:wordWrap/>
        <w:spacing w:beforeLines="0" w:before="100" w:beforeAutospacing="1" w:afterLines="0" w:after="100" w:afterAutospacing="1" w:line="240" w:lineRule="auto"/>
      </w:pPr>
      <w:rPr>
        <w:rFonts w:ascii="ヒラギノ角ゴ Pro W3" w:eastAsia="ヒラギノ角ゴ Pro W3" w:hAnsi="ヒラギノ角ゴ Pro W3" w:hint="eastAsia"/>
        <w:b w:val="0"/>
        <w:bCs/>
        <w:color w:val="auto"/>
        <w:sz w:val="15"/>
        <w:szCs w:val="15"/>
      </w:rPr>
      <w:tblPr/>
      <w:tcPr>
        <w:tcBorders>
          <w:top w:val="single" w:sz="8" w:space="0" w:color="2F6C86"/>
          <w:bottom w:val="single" w:sz="8" w:space="0" w:color="2F6C86"/>
        </w:tcBorders>
        <w:shd w:val="clear" w:color="auto" w:fill="FFFFFF"/>
      </w:tcPr>
    </w:tblStylePr>
    <w:tblStylePr w:type="lastRow">
      <w:pPr>
        <w:spacing w:beforeLines="0" w:before="0" w:beforeAutospacing="0" w:afterLines="0" w:after="0" w:afterAutospacing="0" w:line="240" w:lineRule="auto"/>
      </w:pPr>
      <w:rPr>
        <w:b/>
        <w:bCs/>
      </w:rPr>
      <w:tblPr/>
      <w:tcPr>
        <w:tcBorders>
          <w:top w:val="single" w:sz="8" w:space="0" w:color="2F6C86"/>
          <w:left w:val="nil"/>
          <w:bottom w:val="single" w:sz="8" w:space="0" w:color="2F6C86"/>
          <w:right w:val="nil"/>
          <w:insideH w:val="nil"/>
          <w:insideV w:val="nil"/>
          <w:tl2br w:val="nil"/>
          <w:tr2bl w:val="nil"/>
        </w:tcBorders>
      </w:tcPr>
    </w:tblStylePr>
    <w:tblStylePr w:type="firstCol">
      <w:rPr>
        <w:b/>
        <w:bCs/>
      </w:rPr>
    </w:tblStylePr>
    <w:tblStylePr w:type="lastCol">
      <w:rPr>
        <w:b w:val="0"/>
        <w:bCs/>
      </w:rPr>
      <w:tblPr/>
      <w:tcPr>
        <w:tcBorders>
          <w:top w:val="nil"/>
          <w:left w:val="nil"/>
          <w:bottom w:val="single" w:sz="6" w:space="0" w:color="2F6C86"/>
          <w:right w:val="nil"/>
          <w:insideH w:val="nil"/>
          <w:insideV w:val="nil"/>
          <w:tl2br w:val="nil"/>
          <w:tr2bl w:val="nil"/>
        </w:tcBorders>
      </w:tcPr>
    </w:tblStylePr>
    <w:tblStylePr w:type="band1Horz">
      <w:tblPr/>
      <w:tcPr>
        <w:shd w:val="clear" w:color="auto" w:fill="E1EDF2"/>
      </w:tcPr>
    </w:tblStylePr>
    <w:tblStylePr w:type="band2Horz">
      <w:tblPr/>
      <w:tcPr>
        <w:tcBorders>
          <w:insideH w:val="nil"/>
          <w:insideV w:val="nil"/>
        </w:tcBorders>
      </w:tcPr>
    </w:tblStylePr>
  </w:style>
  <w:style w:type="character" w:customStyle="1" w:styleId="NichtaufgelsteErwhnung2">
    <w:name w:val="Nicht aufgelöste Erwähnung2"/>
    <w:basedOn w:val="Absatz-Standardschriftart"/>
    <w:uiPriority w:val="99"/>
    <w:semiHidden/>
    <w:unhideWhenUsed/>
    <w:rsid w:val="00AF0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4390">
      <w:bodyDiv w:val="1"/>
      <w:marLeft w:val="0"/>
      <w:marRight w:val="0"/>
      <w:marTop w:val="0"/>
      <w:marBottom w:val="0"/>
      <w:divBdr>
        <w:top w:val="none" w:sz="0" w:space="0" w:color="auto"/>
        <w:left w:val="none" w:sz="0" w:space="0" w:color="auto"/>
        <w:bottom w:val="none" w:sz="0" w:space="0" w:color="auto"/>
        <w:right w:val="none" w:sz="0" w:space="0" w:color="auto"/>
      </w:divBdr>
    </w:div>
    <w:div w:id="153108419">
      <w:bodyDiv w:val="1"/>
      <w:marLeft w:val="0"/>
      <w:marRight w:val="0"/>
      <w:marTop w:val="0"/>
      <w:marBottom w:val="0"/>
      <w:divBdr>
        <w:top w:val="none" w:sz="0" w:space="0" w:color="auto"/>
        <w:left w:val="none" w:sz="0" w:space="0" w:color="auto"/>
        <w:bottom w:val="none" w:sz="0" w:space="0" w:color="auto"/>
        <w:right w:val="none" w:sz="0" w:space="0" w:color="auto"/>
      </w:divBdr>
    </w:div>
    <w:div w:id="290287706">
      <w:bodyDiv w:val="1"/>
      <w:marLeft w:val="0"/>
      <w:marRight w:val="0"/>
      <w:marTop w:val="0"/>
      <w:marBottom w:val="0"/>
      <w:divBdr>
        <w:top w:val="none" w:sz="0" w:space="0" w:color="auto"/>
        <w:left w:val="none" w:sz="0" w:space="0" w:color="auto"/>
        <w:bottom w:val="none" w:sz="0" w:space="0" w:color="auto"/>
        <w:right w:val="none" w:sz="0" w:space="0" w:color="auto"/>
      </w:divBdr>
    </w:div>
    <w:div w:id="322465290">
      <w:bodyDiv w:val="1"/>
      <w:marLeft w:val="0"/>
      <w:marRight w:val="0"/>
      <w:marTop w:val="0"/>
      <w:marBottom w:val="0"/>
      <w:divBdr>
        <w:top w:val="none" w:sz="0" w:space="0" w:color="auto"/>
        <w:left w:val="none" w:sz="0" w:space="0" w:color="auto"/>
        <w:bottom w:val="none" w:sz="0" w:space="0" w:color="auto"/>
        <w:right w:val="none" w:sz="0" w:space="0" w:color="auto"/>
      </w:divBdr>
    </w:div>
    <w:div w:id="549652396">
      <w:bodyDiv w:val="1"/>
      <w:marLeft w:val="0"/>
      <w:marRight w:val="0"/>
      <w:marTop w:val="0"/>
      <w:marBottom w:val="0"/>
      <w:divBdr>
        <w:top w:val="none" w:sz="0" w:space="0" w:color="auto"/>
        <w:left w:val="none" w:sz="0" w:space="0" w:color="auto"/>
        <w:bottom w:val="none" w:sz="0" w:space="0" w:color="auto"/>
        <w:right w:val="none" w:sz="0" w:space="0" w:color="auto"/>
      </w:divBdr>
    </w:div>
    <w:div w:id="790587859">
      <w:bodyDiv w:val="1"/>
      <w:marLeft w:val="0"/>
      <w:marRight w:val="0"/>
      <w:marTop w:val="0"/>
      <w:marBottom w:val="0"/>
      <w:divBdr>
        <w:top w:val="none" w:sz="0" w:space="0" w:color="auto"/>
        <w:left w:val="none" w:sz="0" w:space="0" w:color="auto"/>
        <w:bottom w:val="none" w:sz="0" w:space="0" w:color="auto"/>
        <w:right w:val="none" w:sz="0" w:space="0" w:color="auto"/>
      </w:divBdr>
    </w:div>
    <w:div w:id="805976289">
      <w:bodyDiv w:val="1"/>
      <w:marLeft w:val="0"/>
      <w:marRight w:val="0"/>
      <w:marTop w:val="0"/>
      <w:marBottom w:val="0"/>
      <w:divBdr>
        <w:top w:val="none" w:sz="0" w:space="0" w:color="auto"/>
        <w:left w:val="none" w:sz="0" w:space="0" w:color="auto"/>
        <w:bottom w:val="none" w:sz="0" w:space="0" w:color="auto"/>
        <w:right w:val="none" w:sz="0" w:space="0" w:color="auto"/>
      </w:divBdr>
    </w:div>
    <w:div w:id="821121643">
      <w:bodyDiv w:val="1"/>
      <w:marLeft w:val="0"/>
      <w:marRight w:val="0"/>
      <w:marTop w:val="0"/>
      <w:marBottom w:val="0"/>
      <w:divBdr>
        <w:top w:val="none" w:sz="0" w:space="0" w:color="auto"/>
        <w:left w:val="none" w:sz="0" w:space="0" w:color="auto"/>
        <w:bottom w:val="none" w:sz="0" w:space="0" w:color="auto"/>
        <w:right w:val="none" w:sz="0" w:space="0" w:color="auto"/>
      </w:divBdr>
    </w:div>
    <w:div w:id="886338905">
      <w:bodyDiv w:val="1"/>
      <w:marLeft w:val="0"/>
      <w:marRight w:val="0"/>
      <w:marTop w:val="0"/>
      <w:marBottom w:val="0"/>
      <w:divBdr>
        <w:top w:val="none" w:sz="0" w:space="0" w:color="auto"/>
        <w:left w:val="none" w:sz="0" w:space="0" w:color="auto"/>
        <w:bottom w:val="none" w:sz="0" w:space="0" w:color="auto"/>
        <w:right w:val="none" w:sz="0" w:space="0" w:color="auto"/>
      </w:divBdr>
    </w:div>
    <w:div w:id="927689579">
      <w:bodyDiv w:val="1"/>
      <w:marLeft w:val="0"/>
      <w:marRight w:val="0"/>
      <w:marTop w:val="0"/>
      <w:marBottom w:val="0"/>
      <w:divBdr>
        <w:top w:val="none" w:sz="0" w:space="0" w:color="auto"/>
        <w:left w:val="none" w:sz="0" w:space="0" w:color="auto"/>
        <w:bottom w:val="none" w:sz="0" w:space="0" w:color="auto"/>
        <w:right w:val="none" w:sz="0" w:space="0" w:color="auto"/>
      </w:divBdr>
    </w:div>
    <w:div w:id="999502944">
      <w:bodyDiv w:val="1"/>
      <w:marLeft w:val="0"/>
      <w:marRight w:val="0"/>
      <w:marTop w:val="0"/>
      <w:marBottom w:val="0"/>
      <w:divBdr>
        <w:top w:val="none" w:sz="0" w:space="0" w:color="auto"/>
        <w:left w:val="none" w:sz="0" w:space="0" w:color="auto"/>
        <w:bottom w:val="none" w:sz="0" w:space="0" w:color="auto"/>
        <w:right w:val="none" w:sz="0" w:space="0" w:color="auto"/>
      </w:divBdr>
    </w:div>
    <w:div w:id="1202666993">
      <w:bodyDiv w:val="1"/>
      <w:marLeft w:val="0"/>
      <w:marRight w:val="0"/>
      <w:marTop w:val="0"/>
      <w:marBottom w:val="0"/>
      <w:divBdr>
        <w:top w:val="none" w:sz="0" w:space="0" w:color="auto"/>
        <w:left w:val="none" w:sz="0" w:space="0" w:color="auto"/>
        <w:bottom w:val="none" w:sz="0" w:space="0" w:color="auto"/>
        <w:right w:val="none" w:sz="0" w:space="0" w:color="auto"/>
      </w:divBdr>
    </w:div>
    <w:div w:id="1349212177">
      <w:bodyDiv w:val="1"/>
      <w:marLeft w:val="0"/>
      <w:marRight w:val="0"/>
      <w:marTop w:val="0"/>
      <w:marBottom w:val="0"/>
      <w:divBdr>
        <w:top w:val="none" w:sz="0" w:space="0" w:color="auto"/>
        <w:left w:val="none" w:sz="0" w:space="0" w:color="auto"/>
        <w:bottom w:val="none" w:sz="0" w:space="0" w:color="auto"/>
        <w:right w:val="none" w:sz="0" w:space="0" w:color="auto"/>
      </w:divBdr>
    </w:div>
    <w:div w:id="1450665690">
      <w:bodyDiv w:val="1"/>
      <w:marLeft w:val="0"/>
      <w:marRight w:val="0"/>
      <w:marTop w:val="0"/>
      <w:marBottom w:val="0"/>
      <w:divBdr>
        <w:top w:val="none" w:sz="0" w:space="0" w:color="auto"/>
        <w:left w:val="none" w:sz="0" w:space="0" w:color="auto"/>
        <w:bottom w:val="none" w:sz="0" w:space="0" w:color="auto"/>
        <w:right w:val="none" w:sz="0" w:space="0" w:color="auto"/>
      </w:divBdr>
    </w:div>
    <w:div w:id="1606159547">
      <w:bodyDiv w:val="1"/>
      <w:marLeft w:val="0"/>
      <w:marRight w:val="0"/>
      <w:marTop w:val="0"/>
      <w:marBottom w:val="0"/>
      <w:divBdr>
        <w:top w:val="none" w:sz="0" w:space="0" w:color="auto"/>
        <w:left w:val="none" w:sz="0" w:space="0" w:color="auto"/>
        <w:bottom w:val="none" w:sz="0" w:space="0" w:color="auto"/>
        <w:right w:val="none" w:sz="0" w:space="0" w:color="auto"/>
      </w:divBdr>
    </w:div>
    <w:div w:id="1782527878">
      <w:bodyDiv w:val="1"/>
      <w:marLeft w:val="0"/>
      <w:marRight w:val="0"/>
      <w:marTop w:val="0"/>
      <w:marBottom w:val="0"/>
      <w:divBdr>
        <w:top w:val="none" w:sz="0" w:space="0" w:color="auto"/>
        <w:left w:val="none" w:sz="0" w:space="0" w:color="auto"/>
        <w:bottom w:val="none" w:sz="0" w:space="0" w:color="auto"/>
        <w:right w:val="none" w:sz="0" w:space="0" w:color="auto"/>
      </w:divBdr>
    </w:div>
    <w:div w:id="1945576791">
      <w:bodyDiv w:val="1"/>
      <w:marLeft w:val="0"/>
      <w:marRight w:val="0"/>
      <w:marTop w:val="0"/>
      <w:marBottom w:val="0"/>
      <w:divBdr>
        <w:top w:val="none" w:sz="0" w:space="0" w:color="auto"/>
        <w:left w:val="none" w:sz="0" w:space="0" w:color="auto"/>
        <w:bottom w:val="none" w:sz="0" w:space="0" w:color="auto"/>
        <w:right w:val="none" w:sz="0" w:space="0" w:color="auto"/>
      </w:divBdr>
    </w:div>
    <w:div w:id="1986927203">
      <w:bodyDiv w:val="1"/>
      <w:marLeft w:val="0"/>
      <w:marRight w:val="0"/>
      <w:marTop w:val="0"/>
      <w:marBottom w:val="0"/>
      <w:divBdr>
        <w:top w:val="none" w:sz="0" w:space="0" w:color="auto"/>
        <w:left w:val="none" w:sz="0" w:space="0" w:color="auto"/>
        <w:bottom w:val="none" w:sz="0" w:space="0" w:color="auto"/>
        <w:right w:val="none" w:sz="0" w:space="0" w:color="auto"/>
      </w:divBdr>
    </w:div>
    <w:div w:id="2027243744">
      <w:bodyDiv w:val="1"/>
      <w:marLeft w:val="0"/>
      <w:marRight w:val="0"/>
      <w:marTop w:val="0"/>
      <w:marBottom w:val="0"/>
      <w:divBdr>
        <w:top w:val="none" w:sz="0" w:space="0" w:color="auto"/>
        <w:left w:val="none" w:sz="0" w:space="0" w:color="auto"/>
        <w:bottom w:val="none" w:sz="0" w:space="0" w:color="auto"/>
        <w:right w:val="none" w:sz="0" w:space="0" w:color="auto"/>
      </w:divBdr>
    </w:div>
    <w:div w:id="204794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ga.willer@fibl.org" TargetMode="External"/><Relationship Id="rId18" Type="http://schemas.openxmlformats.org/officeDocument/2006/relationships/hyperlink" Target="https://www.fibl.org"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biofach.fibl.org/en/biofach-all/biofach-2024"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tatistics.fibl.org/"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organic-world.net/yearbook/yearbook-2024/infographics.html" TargetMode="External"/><Relationship Id="rId20" Type="http://schemas.openxmlformats.org/officeDocument/2006/relationships/hyperlink" Target="https://www.biofach.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fibl.org/" TargetMode="Externa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organic-world.net/yearbook/yearbook-2024.html" TargetMode="External"/><Relationship Id="rId23" Type="http://schemas.openxmlformats.org/officeDocument/2006/relationships/footer" Target="footer2.xml"/><Relationship Id="rId28" Type="http://schemas.openxmlformats.org/officeDocument/2006/relationships/image" Target="media/image6.png"/><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ami-informiert.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ana.schaack@ami-informiert.de" TargetMode="External"/><Relationship Id="rId22" Type="http://schemas.openxmlformats.org/officeDocument/2006/relationships/hyperlink" Target="https://www.fibl.org/en/info-centre/media.html" TargetMode="External"/><Relationship Id="rId27" Type="http://schemas.openxmlformats.org/officeDocument/2006/relationships/image" Target="media/image5.pn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F90879D6-648D-4612-A213-76FA3BF91C61}">
    <t:Anchor>
      <t:Comment id="2035650092"/>
    </t:Anchor>
    <t:History>
      <t:Event id="{206CBA1F-3676-479D-A6BB-338924EBB232}" time="2021-02-15T15:36:21.641Z">
        <t:Attribution userId="S::eduardo.cuoco@organicseurope.bio::2f9cd408-62e5-4395-9009-741ed70bbe77" userProvider="AD" userName="Eduardo Cuoco"/>
        <t:Anchor>
          <t:Comment id="2035650092"/>
        </t:Anchor>
        <t:Create/>
      </t:Event>
      <t:Event id="{DEF6C42F-9852-4CE0-9525-877F37F3E9FD}" time="2021-02-15T15:36:21.641Z">
        <t:Attribution userId="S::eduardo.cuoco@organicseurope.bio::2f9cd408-62e5-4395-9009-741ed70bbe77" userProvider="AD" userName="Eduardo Cuoco"/>
        <t:Anchor>
          <t:Comment id="2035650092"/>
        </t:Anchor>
        <t:Assign userId="S::eva.berckmans@organicseurope.bio::8713c38b-55e5-497e-8d3e-e621cb39ebf9" userProvider="AD" userName="Eva Berckmans"/>
      </t:Event>
      <t:Event id="{631C10D3-BBC5-43E6-8834-1E7E4204DD4F}" time="2021-02-15T15:36:21.641Z">
        <t:Attribution userId="S::eduardo.cuoco@organicseurope.bio::2f9cd408-62e5-4395-9009-741ed70bbe77" userProvider="AD" userName="Eduardo Cuoco"/>
        <t:Anchor>
          <t:Comment id="2035650092"/>
        </t:Anchor>
        <t:SetTitle title="I propose a new formulation. It should be re-read. @Eva Berckmans"/>
      </t:Event>
    </t:History>
  </t:Task>
</t:Task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6E393F-BC3E-7B4F-9074-94C6B0F24F3B}">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0B5DEB9429A54CBC3F176570DAF5C2" ma:contentTypeVersion="6" ma:contentTypeDescription="Create a new document." ma:contentTypeScope="" ma:versionID="c6a50493e7e071e5d3ec03e585a8f0b1">
  <xsd:schema xmlns:xsd="http://www.w3.org/2001/XMLSchema" xmlns:xs="http://www.w3.org/2001/XMLSchema" xmlns:p="http://schemas.microsoft.com/office/2006/metadata/properties" xmlns:ns2="66e51a43-3444-4728-b37c-b7e07c4f25e4" xmlns:ns3="ee201ea7-6ad6-4cb0-8541-d063b28b84a0" targetNamespace="http://schemas.microsoft.com/office/2006/metadata/properties" ma:root="true" ma:fieldsID="16c3cebcf38e8b65f0e56a570f1a82fb" ns2:_="" ns3:_="">
    <xsd:import namespace="66e51a43-3444-4728-b37c-b7e07c4f25e4"/>
    <xsd:import namespace="ee201ea7-6ad6-4cb0-8541-d063b28b84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51a43-3444-4728-b37c-b7e07c4f2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201ea7-6ad6-4cb0-8541-d063b28b84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F9D1D-CE48-40BB-9E6D-F3B9BD6BBEDF}">
  <ds:schemaRefs>
    <ds:schemaRef ds:uri="http://schemas.microsoft.com/sharepoint/v3/contenttype/forms"/>
  </ds:schemaRefs>
</ds:datastoreItem>
</file>

<file path=customXml/itemProps2.xml><?xml version="1.0" encoding="utf-8"?>
<ds:datastoreItem xmlns:ds="http://schemas.openxmlformats.org/officeDocument/2006/customXml" ds:itemID="{102FBA82-BCFB-4CA9-863B-49C3D590B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51a43-3444-4728-b37c-b7e07c4f25e4"/>
    <ds:schemaRef ds:uri="ee201ea7-6ad6-4cb0-8541-d063b28b8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BA549-99F8-4875-885B-68DEBC2BF4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D105AD-C114-4888-9536-4644D950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1369</Words>
  <Characters>8626</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Media release "European organic market grew to 40.7 billion euros in 2018"</vt:lpstr>
      <vt:lpstr>Media release "European organic market grew to 40.7 billion euros in 2018"</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"European organic market grew to 40.7 billion euros in 2018"</dc:title>
  <dc:creator>Basler Andreas</dc:creator>
  <cp:lastModifiedBy>Basler Andreas</cp:lastModifiedBy>
  <cp:revision>8</cp:revision>
  <cp:lastPrinted>2024-02-09T12:20:00Z</cp:lastPrinted>
  <dcterms:created xsi:type="dcterms:W3CDTF">2024-02-09T12:20:00Z</dcterms:created>
  <dcterms:modified xsi:type="dcterms:W3CDTF">2024-02-13T08:19:00Z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0x010100220B5DEB9429A54CBC3F176570DAF5C2</vt:lpwstr>
  </property>
  <property fmtid="{D5CDD505-2E9C-101B-9397-08002B2CF9AE}" pid="3" name="grammarly_documentId">
    <vt:lpwstr>documentId_9932</vt:lpwstr>
  </property>
  <property fmtid="{D5CDD505-2E9C-101B-9397-08002B2CF9AE}" pid="4" name="grammarly_documentContext">
    <vt:lpwstr>{"goals":[],"domain":"general","emotions":[],"dialect":"british"}</vt:lpwstr>
  </property>
  <property fmtid="{D5CDD505-2E9C-101B-9397-08002B2CF9AE}" pid="5" name="GrammarlyDocumentId">
    <vt:lpwstr>0626e3799c9b09c5c1756b52ab524a8e31e63054fcf7e754883688159a9ee9a8</vt:lpwstr>
  </property>
</Properties>
</file>