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14276" w14:textId="0ECA2C1C" w:rsidR="004762FE" w:rsidRPr="00F64C94" w:rsidRDefault="008A73BC" w:rsidP="00453BD9">
      <w:pPr>
        <w:pStyle w:val="FiBLmrsubheader"/>
        <w:sectPr w:rsidR="004762FE" w:rsidRPr="00F64C94" w:rsidSect="00232993">
          <w:headerReference w:type="default" r:id="rId11"/>
          <w:footerReference w:type="default" r:id="rId12"/>
          <w:type w:val="continuous"/>
          <w:pgSz w:w="11906" w:h="16838"/>
          <w:pgMar w:top="2268" w:right="1701" w:bottom="1701" w:left="1701" w:header="1134" w:footer="567" w:gutter="0"/>
          <w:cols w:space="708"/>
          <w:docGrid w:linePitch="360"/>
        </w:sectPr>
      </w:pPr>
      <w:r>
        <w:t>Media release,</w:t>
      </w:r>
      <w:r w:rsidR="00964193">
        <w:t xml:space="preserve"> 17</w:t>
      </w:r>
      <w:r>
        <w:t xml:space="preserve"> </w:t>
      </w:r>
      <w:r w:rsidR="006E63C9">
        <w:t>February 2021</w:t>
      </w:r>
    </w:p>
    <w:p w14:paraId="6E3F78BD" w14:textId="1E27682C" w:rsidR="00DE44EA" w:rsidRPr="00F64C94" w:rsidRDefault="0010418E" w:rsidP="009B0C59">
      <w:pPr>
        <w:pStyle w:val="FiBLmrtitle"/>
      </w:pPr>
      <w:r w:rsidRPr="00F64C94">
        <w:t>European</w:t>
      </w:r>
      <w:bookmarkStart w:id="4" w:name="_GoBack"/>
      <w:bookmarkEnd w:id="4"/>
      <w:r w:rsidRPr="00F64C94">
        <w:t xml:space="preserve"> o</w:t>
      </w:r>
      <w:r w:rsidR="009B0C59" w:rsidRPr="00F64C94">
        <w:t>rganic market gr</w:t>
      </w:r>
      <w:r w:rsidR="00E8113E" w:rsidRPr="00F64C94">
        <w:t>ew</w:t>
      </w:r>
      <w:r w:rsidR="009B0C59" w:rsidRPr="00F64C94">
        <w:t xml:space="preserve"> </w:t>
      </w:r>
      <w:r w:rsidR="00DB58A2" w:rsidRPr="00F64C94">
        <w:t xml:space="preserve">to </w:t>
      </w:r>
      <w:r w:rsidR="000B0146" w:rsidRPr="000B0146">
        <w:t>€</w:t>
      </w:r>
      <w:r w:rsidR="00325F32" w:rsidRPr="00F64C94">
        <w:t>4</w:t>
      </w:r>
      <w:r w:rsidR="006E63C9">
        <w:t>5</w:t>
      </w:r>
      <w:r w:rsidR="00325F32" w:rsidRPr="00F64C94">
        <w:t xml:space="preserve"> </w:t>
      </w:r>
      <w:r w:rsidR="00DB58A2" w:rsidRPr="00F64C94">
        <w:t xml:space="preserve">billion </w:t>
      </w:r>
      <w:r w:rsidR="009B0C59" w:rsidRPr="00F64C94">
        <w:t xml:space="preserve">in </w:t>
      </w:r>
      <w:r w:rsidR="00325F32" w:rsidRPr="00F64C94">
        <w:t>201</w:t>
      </w:r>
      <w:r w:rsidR="006E63C9">
        <w:t>9</w:t>
      </w:r>
    </w:p>
    <w:p w14:paraId="1407DCA1" w14:textId="54DACD5F" w:rsidR="009B0C59" w:rsidRPr="00F64C94" w:rsidRDefault="009B0C59" w:rsidP="0095158F">
      <w:pPr>
        <w:pStyle w:val="FiBLmrlead"/>
      </w:pPr>
      <w:r w:rsidRPr="00F64C94">
        <w:t xml:space="preserve">The organic market in Europe continues to grow. In </w:t>
      </w:r>
      <w:r w:rsidR="00325F32" w:rsidRPr="00F64C94">
        <w:t>201</w:t>
      </w:r>
      <w:r w:rsidR="006E63C9">
        <w:t>9</w:t>
      </w:r>
      <w:r w:rsidRPr="00F64C94">
        <w:t xml:space="preserve">, it increased by </w:t>
      </w:r>
      <w:r w:rsidR="006E63C9">
        <w:t xml:space="preserve">another </w:t>
      </w:r>
      <w:r w:rsidR="00325F32" w:rsidRPr="00F64C94">
        <w:t>8</w:t>
      </w:r>
      <w:r w:rsidR="008503A6" w:rsidRPr="00F64C94">
        <w:t xml:space="preserve"> </w:t>
      </w:r>
      <w:r w:rsidR="00DB58A2" w:rsidRPr="00F64C94">
        <w:t xml:space="preserve">percent </w:t>
      </w:r>
      <w:r w:rsidR="0025116B" w:rsidRPr="00F64C94">
        <w:t xml:space="preserve">and </w:t>
      </w:r>
      <w:r w:rsidRPr="00F64C94">
        <w:t xml:space="preserve">reached </w:t>
      </w:r>
      <w:r w:rsidR="000B0146" w:rsidRPr="000B0146">
        <w:t>€</w:t>
      </w:r>
      <w:r w:rsidR="006E63C9">
        <w:t>45.0</w:t>
      </w:r>
      <w:r w:rsidR="00BB6809" w:rsidRPr="00F64C94">
        <w:t xml:space="preserve"> </w:t>
      </w:r>
      <w:r w:rsidRPr="00F64C94">
        <w:t xml:space="preserve">billion. </w:t>
      </w:r>
      <w:r w:rsidR="00594B89">
        <w:t>Some</w:t>
      </w:r>
      <w:r w:rsidRPr="00F64C94">
        <w:t xml:space="preserve"> </w:t>
      </w:r>
      <w:r w:rsidR="0010418E" w:rsidRPr="00F64C94">
        <w:t xml:space="preserve">markets </w:t>
      </w:r>
      <w:r w:rsidRPr="00F64C94">
        <w:t>enjoyed double-digit growth rates. At</w:t>
      </w:r>
      <w:r w:rsidR="006E63C9">
        <w:t xml:space="preserve"> this year’s digital edition of</w:t>
      </w:r>
      <w:r w:rsidRPr="00F64C94">
        <w:t xml:space="preserve"> BIOFACH, the world’s leading trade fair for organic food, the Research Institute of Organic Agriculture FiBL</w:t>
      </w:r>
      <w:r w:rsidR="00DB58A2" w:rsidRPr="00F64C94">
        <w:t>,</w:t>
      </w:r>
      <w:r w:rsidRPr="00F64C94">
        <w:t xml:space="preserve"> the Agricultural Market Information Company AMI </w:t>
      </w:r>
      <w:r w:rsidR="00DB58A2" w:rsidRPr="00F64C94">
        <w:t xml:space="preserve">and partners </w:t>
      </w:r>
      <w:r w:rsidRPr="00F64C94">
        <w:t>are presenting the data o</w:t>
      </w:r>
      <w:r w:rsidR="00190129">
        <w:t>n</w:t>
      </w:r>
      <w:r w:rsidRPr="00F64C94">
        <w:t xml:space="preserve"> the European </w:t>
      </w:r>
      <w:r w:rsidRPr="00F64C94">
        <w:rPr>
          <w:noProof/>
        </w:rPr>
        <w:t>organic</w:t>
      </w:r>
      <w:r w:rsidRPr="00F64C94">
        <w:t xml:space="preserve"> sector (</w:t>
      </w:r>
      <w:r w:rsidR="006E63C9">
        <w:t xml:space="preserve">BIOFACH </w:t>
      </w:r>
      <w:proofErr w:type="spellStart"/>
      <w:r w:rsidR="006E63C9">
        <w:t>eSPECIAL</w:t>
      </w:r>
      <w:proofErr w:type="spellEnd"/>
      <w:r w:rsidR="003417DB">
        <w:t>,</w:t>
      </w:r>
      <w:r w:rsidR="006E63C9">
        <w:t xml:space="preserve"> </w:t>
      </w:r>
      <w:r w:rsidR="00964193">
        <w:t xml:space="preserve">17 </w:t>
      </w:r>
      <w:r w:rsidRPr="00F64C94">
        <w:t xml:space="preserve">February </w:t>
      </w:r>
      <w:r w:rsidR="0008266D" w:rsidRPr="00F64C94">
        <w:rPr>
          <w:noProof/>
        </w:rPr>
        <w:t>202</w:t>
      </w:r>
      <w:r w:rsidR="006E63C9">
        <w:rPr>
          <w:noProof/>
        </w:rPr>
        <w:t>1</w:t>
      </w:r>
      <w:r w:rsidR="0018225C">
        <w:rPr>
          <w:noProof/>
        </w:rPr>
        <w:t>,</w:t>
      </w:r>
      <w:r w:rsidR="00BB6809" w:rsidRPr="00F64C94">
        <w:t xml:space="preserve"> </w:t>
      </w:r>
      <w:r w:rsidR="0008266D" w:rsidRPr="00F64C94">
        <w:t xml:space="preserve">from </w:t>
      </w:r>
      <w:r w:rsidR="006E63C9">
        <w:t>5</w:t>
      </w:r>
      <w:r w:rsidRPr="00F64C94">
        <w:t xml:space="preserve"> to </w:t>
      </w:r>
      <w:r w:rsidR="006E63C9">
        <w:t>6</w:t>
      </w:r>
      <w:r w:rsidR="0008266D" w:rsidRPr="00F64C94">
        <w:t xml:space="preserve"> </w:t>
      </w:r>
      <w:r w:rsidRPr="00F64C94">
        <w:t>pm</w:t>
      </w:r>
      <w:r w:rsidR="00C13AF5">
        <w:t xml:space="preserve">, </w:t>
      </w:r>
      <w:r w:rsidR="006E63C9">
        <w:t>Livestream 5</w:t>
      </w:r>
      <w:r w:rsidRPr="00F64C94">
        <w:t xml:space="preserve">). </w:t>
      </w:r>
    </w:p>
    <w:p w14:paraId="0CA7CA9B" w14:textId="152AE39E" w:rsidR="0010418E" w:rsidRPr="00F64C94" w:rsidRDefault="0018225C" w:rsidP="001355DA">
      <w:pPr>
        <w:pStyle w:val="FiBLmrstandard"/>
      </w:pPr>
      <w:r>
        <w:t>I</w:t>
      </w:r>
      <w:r w:rsidR="0025116B" w:rsidRPr="00F64C94">
        <w:t xml:space="preserve">n </w:t>
      </w:r>
      <w:r w:rsidR="00325F32" w:rsidRPr="00F64C94">
        <w:t>201</w:t>
      </w:r>
      <w:r w:rsidR="006E63C9">
        <w:t>9</w:t>
      </w:r>
      <w:r w:rsidR="0010418E" w:rsidRPr="00F64C94">
        <w:t xml:space="preserve">, the European organic sector experienced </w:t>
      </w:r>
      <w:r w:rsidR="005C0FBE">
        <w:t>substantial</w:t>
      </w:r>
      <w:r w:rsidR="0010418E" w:rsidRPr="00F64C94">
        <w:t xml:space="preserve"> growth </w:t>
      </w:r>
      <w:r w:rsidR="0010418E" w:rsidRPr="00F64C94">
        <w:rPr>
          <w:noProof/>
        </w:rPr>
        <w:t>in terms of</w:t>
      </w:r>
      <w:r w:rsidR="0010418E" w:rsidRPr="00F64C94">
        <w:t xml:space="preserve"> area, producers</w:t>
      </w:r>
      <w:r w:rsidR="008E63F1">
        <w:t xml:space="preserve"> </w:t>
      </w:r>
      <w:r w:rsidR="0010418E" w:rsidRPr="00F64C94">
        <w:t xml:space="preserve">and markets. </w:t>
      </w:r>
    </w:p>
    <w:p w14:paraId="559B5D48" w14:textId="5DED9D02" w:rsidR="0010418E" w:rsidRPr="00F64C94" w:rsidRDefault="0010418E" w:rsidP="001355DA">
      <w:pPr>
        <w:pStyle w:val="FiBLmrstandard"/>
      </w:pPr>
      <w:r w:rsidRPr="00F64C94">
        <w:t xml:space="preserve">In Europe, </w:t>
      </w:r>
      <w:r w:rsidR="006E63C9">
        <w:t>16.5</w:t>
      </w:r>
      <w:r w:rsidRPr="00F64C94">
        <w:t xml:space="preserve"> million hectares </w:t>
      </w:r>
      <w:r w:rsidR="00824DC6">
        <w:t xml:space="preserve">of farmland </w:t>
      </w:r>
      <w:r w:rsidRPr="00F64C94">
        <w:t xml:space="preserve">were organic in </w:t>
      </w:r>
      <w:r w:rsidR="002B39D2" w:rsidRPr="00F64C94">
        <w:t>201</w:t>
      </w:r>
      <w:r w:rsidR="006E63C9">
        <w:t>9</w:t>
      </w:r>
      <w:r w:rsidR="002B39D2" w:rsidRPr="00F64C94">
        <w:t xml:space="preserve"> (European Union: </w:t>
      </w:r>
      <w:r w:rsidR="006E63C9">
        <w:t>14.6</w:t>
      </w:r>
      <w:r w:rsidRPr="00F64C94">
        <w:t xml:space="preserve"> million hectares). With </w:t>
      </w:r>
      <w:r w:rsidR="004B0809">
        <w:t>almost</w:t>
      </w:r>
      <w:r w:rsidR="006E63C9">
        <w:t xml:space="preserve"> </w:t>
      </w:r>
      <w:r w:rsidRPr="00F64C94">
        <w:t>2</w:t>
      </w:r>
      <w:r w:rsidR="002B39D2" w:rsidRPr="00F64C94">
        <w:t>.</w:t>
      </w:r>
      <w:r w:rsidR="004B0809">
        <w:t>4</w:t>
      </w:r>
      <w:r w:rsidRPr="00F64C94">
        <w:t xml:space="preserve"> million hectares, Spain continues to be the country with the </w:t>
      </w:r>
      <w:r w:rsidRPr="00F64C94">
        <w:rPr>
          <w:noProof/>
        </w:rPr>
        <w:t>largest</w:t>
      </w:r>
      <w:r w:rsidRPr="00F64C94">
        <w:t xml:space="preserve"> </w:t>
      </w:r>
      <w:r w:rsidRPr="00F64C94">
        <w:rPr>
          <w:noProof/>
        </w:rPr>
        <w:t>organic</w:t>
      </w:r>
      <w:r w:rsidRPr="00F64C94">
        <w:t xml:space="preserve"> a</w:t>
      </w:r>
      <w:r w:rsidR="002B39D2" w:rsidRPr="00F64C94">
        <w:t>rea in Europe, followed by France</w:t>
      </w:r>
      <w:r w:rsidRPr="00F64C94">
        <w:t xml:space="preserve"> (</w:t>
      </w:r>
      <w:r w:rsidR="002B39D2" w:rsidRPr="00F64C94">
        <w:t>2.</w:t>
      </w:r>
      <w:r w:rsidR="006E63C9">
        <w:t>2</w:t>
      </w:r>
      <w:r w:rsidRPr="00F64C94">
        <w:t xml:space="preserve"> million hectares)</w:t>
      </w:r>
      <w:r w:rsidR="0025116B" w:rsidRPr="00F64C94">
        <w:t>,</w:t>
      </w:r>
      <w:r w:rsidR="002B39D2" w:rsidRPr="00F64C94">
        <w:t xml:space="preserve"> and Italy (2.0</w:t>
      </w:r>
      <w:r w:rsidRPr="00F64C94">
        <w:t xml:space="preserve"> million hectares). </w:t>
      </w:r>
    </w:p>
    <w:p w14:paraId="44567038" w14:textId="7FB12E47" w:rsidR="0010418E" w:rsidRPr="00E15F69" w:rsidRDefault="0010418E" w:rsidP="007B1234">
      <w:pPr>
        <w:pStyle w:val="FiBLmrsubheader"/>
        <w:spacing w:before="240" w:after="60"/>
      </w:pPr>
      <w:r w:rsidRPr="00E15F69">
        <w:t xml:space="preserve">Organic farmland increased by </w:t>
      </w:r>
      <w:r w:rsidR="00AE7B5A" w:rsidRPr="00E15F69">
        <w:t xml:space="preserve">almost </w:t>
      </w:r>
      <w:r w:rsidRPr="00E15F69">
        <w:t>one million hectare</w:t>
      </w:r>
      <w:r w:rsidR="00AE7B5A" w:rsidRPr="00E15F69">
        <w:t>s</w:t>
      </w:r>
    </w:p>
    <w:p w14:paraId="431BDEBF" w14:textId="04EDE6C6" w:rsidR="0010418E" w:rsidRPr="00F64C94" w:rsidRDefault="0010418E" w:rsidP="001355DA">
      <w:pPr>
        <w:pStyle w:val="FiBLmrstandard"/>
      </w:pPr>
      <w:r w:rsidRPr="00E15F69">
        <w:t xml:space="preserve">The </w:t>
      </w:r>
      <w:r w:rsidRPr="00E15F69">
        <w:rPr>
          <w:noProof/>
        </w:rPr>
        <w:t>organic</w:t>
      </w:r>
      <w:r w:rsidRPr="00E15F69">
        <w:t xml:space="preserve"> </w:t>
      </w:r>
      <w:r w:rsidR="005C0FBE">
        <w:t>farm</w:t>
      </w:r>
      <w:r w:rsidRPr="00E15F69">
        <w:t xml:space="preserve">land increased by </w:t>
      </w:r>
      <w:r w:rsidR="00BF56F6">
        <w:t>over 0.9</w:t>
      </w:r>
      <w:r w:rsidRPr="00E15F69">
        <w:t xml:space="preserve"> million hectares</w:t>
      </w:r>
      <w:r w:rsidR="00DB58A2" w:rsidRPr="00E15F69">
        <w:t xml:space="preserve"> in Europe</w:t>
      </w:r>
      <w:r w:rsidR="00BF519D" w:rsidRPr="00E15F69">
        <w:t xml:space="preserve"> and by </w:t>
      </w:r>
      <w:r w:rsidR="00BF56F6">
        <w:t>over 0.8</w:t>
      </w:r>
      <w:r w:rsidR="008503A6" w:rsidRPr="00E15F69">
        <w:t xml:space="preserve"> million hectares in the European Union</w:t>
      </w:r>
      <w:r w:rsidRPr="00E15F69">
        <w:t xml:space="preserve">, representing an increase </w:t>
      </w:r>
      <w:r w:rsidRPr="00E15F69">
        <w:rPr>
          <w:noProof/>
        </w:rPr>
        <w:t xml:space="preserve">of </w:t>
      </w:r>
      <w:r w:rsidR="00E15F69" w:rsidRPr="00E15F69">
        <w:t>5.9</w:t>
      </w:r>
      <w:r w:rsidRPr="00E15F69">
        <w:t xml:space="preserve"> percent </w:t>
      </w:r>
      <w:r w:rsidR="00E15F69" w:rsidRPr="00E15F69">
        <w:t>each</w:t>
      </w:r>
      <w:r w:rsidRPr="00E15F69">
        <w:t xml:space="preserve">. </w:t>
      </w:r>
      <w:r w:rsidR="00AE7B5A" w:rsidRPr="00E15F69">
        <w:t xml:space="preserve">Growth was slower than in 2018 but higher than in the first years of the </w:t>
      </w:r>
      <w:r w:rsidR="00824DC6">
        <w:t xml:space="preserve">past </w:t>
      </w:r>
      <w:r w:rsidR="00AE7B5A" w:rsidRPr="00E15F69">
        <w:t xml:space="preserve">decade. </w:t>
      </w:r>
      <w:r w:rsidR="002B39D2" w:rsidRPr="00E15F69">
        <w:t>France</w:t>
      </w:r>
      <w:r w:rsidR="00DB58A2" w:rsidRPr="00E15F69">
        <w:t xml:space="preserve"> </w:t>
      </w:r>
      <w:r w:rsidRPr="00E15F69">
        <w:t xml:space="preserve">reported </w:t>
      </w:r>
      <w:r w:rsidR="00E15F69" w:rsidRPr="00E15F69">
        <w:t>almost</w:t>
      </w:r>
      <w:r w:rsidRPr="00E15F69">
        <w:t xml:space="preserve"> </w:t>
      </w:r>
      <w:r w:rsidR="00AE7B5A" w:rsidRPr="00E15F69">
        <w:t>206</w:t>
      </w:r>
      <w:r w:rsidRPr="00E15F69">
        <w:t xml:space="preserve">’000 hectares more than in </w:t>
      </w:r>
      <w:r w:rsidR="00795877" w:rsidRPr="00E15F69">
        <w:t>201</w:t>
      </w:r>
      <w:r w:rsidR="00AE7B5A" w:rsidRPr="00E15F69">
        <w:t>8</w:t>
      </w:r>
      <w:r w:rsidR="00E15F69" w:rsidRPr="00E15F69">
        <w:t>, Ukraine almost 159’000 hectares more</w:t>
      </w:r>
      <w:r w:rsidR="002C42B8">
        <w:t>,</w:t>
      </w:r>
      <w:r w:rsidRPr="00E15F69">
        <w:t xml:space="preserve"> and </w:t>
      </w:r>
      <w:r w:rsidR="002B39D2" w:rsidRPr="00E15F69">
        <w:t>Spain</w:t>
      </w:r>
      <w:r w:rsidRPr="00E15F69">
        <w:t xml:space="preserve"> over </w:t>
      </w:r>
      <w:r w:rsidR="00AE7B5A" w:rsidRPr="00E15F69">
        <w:t>108</w:t>
      </w:r>
      <w:r w:rsidRPr="00E15F69">
        <w:t>’000 hectares more.</w:t>
      </w:r>
    </w:p>
    <w:p w14:paraId="1F3D2D64" w14:textId="28A735EF" w:rsidR="0010418E" w:rsidRPr="00F64C94" w:rsidRDefault="0010418E" w:rsidP="007B1234">
      <w:pPr>
        <w:pStyle w:val="FiBLmrsubheader"/>
        <w:spacing w:before="240" w:after="60"/>
      </w:pPr>
      <w:r w:rsidRPr="00F64C94">
        <w:t>Liechtenstein is the country with the highest o</w:t>
      </w:r>
      <w:r w:rsidR="00D32E71" w:rsidRPr="00F64C94">
        <w:t>r</w:t>
      </w:r>
      <w:r w:rsidRPr="00F64C94">
        <w:t>ganic</w:t>
      </w:r>
      <w:r w:rsidR="00042522" w:rsidRPr="00F64C94">
        <w:t xml:space="preserve"> share of the total</w:t>
      </w:r>
      <w:r w:rsidRPr="00F64C94">
        <w:t xml:space="preserve"> farmland in the world</w:t>
      </w:r>
    </w:p>
    <w:p w14:paraId="09030D4E" w14:textId="35BAE012" w:rsidR="0010418E" w:rsidRPr="00F64C94" w:rsidRDefault="00824DC6" w:rsidP="0010418E">
      <w:pPr>
        <w:pStyle w:val="FiBLmrstandard"/>
      </w:pPr>
      <w:r>
        <w:t>In 2019, o</w:t>
      </w:r>
      <w:r w:rsidR="0010418E" w:rsidRPr="00F64C94">
        <w:t>rganic farmland in Europe constitute</w:t>
      </w:r>
      <w:r w:rsidR="008503A6" w:rsidRPr="00F64C94">
        <w:t>d</w:t>
      </w:r>
      <w:r w:rsidR="0010418E" w:rsidRPr="00F64C94">
        <w:t xml:space="preserve"> </w:t>
      </w:r>
      <w:r w:rsidR="007D7CD4" w:rsidRPr="00F64C94">
        <w:t>3.</w:t>
      </w:r>
      <w:r w:rsidR="00AE7B5A">
        <w:t>3</w:t>
      </w:r>
      <w:r w:rsidR="0010418E" w:rsidRPr="00F64C94">
        <w:t xml:space="preserve"> percent of the total agricultural land and </w:t>
      </w:r>
      <w:r w:rsidR="00AE7B5A">
        <w:t>8.1</w:t>
      </w:r>
      <w:r w:rsidR="0010418E" w:rsidRPr="00F64C94">
        <w:t xml:space="preserve"> percent in the European Union. In Europe (and globally), Liechtenstein ha</w:t>
      </w:r>
      <w:r w:rsidR="008503A6" w:rsidRPr="00F64C94">
        <w:t>d</w:t>
      </w:r>
      <w:r w:rsidR="0010418E" w:rsidRPr="00F64C94">
        <w:t xml:space="preserve"> the highest o</w:t>
      </w:r>
      <w:r w:rsidR="007D7CD4" w:rsidRPr="00F64C94">
        <w:t>rganic share of all farmland (</w:t>
      </w:r>
      <w:r w:rsidR="00AE7B5A">
        <w:t>41.0</w:t>
      </w:r>
      <w:r w:rsidR="0010418E" w:rsidRPr="00F64C94">
        <w:t xml:space="preserve"> percent) followed by Austria, the country in the European Union with the highest organic share (</w:t>
      </w:r>
      <w:r w:rsidR="00AE7B5A">
        <w:t>26.1</w:t>
      </w:r>
      <w:r w:rsidR="0010418E" w:rsidRPr="00F64C94">
        <w:t xml:space="preserve"> percent). </w:t>
      </w:r>
      <w:r w:rsidR="00AE7B5A">
        <w:t>Twelve</w:t>
      </w:r>
      <w:r w:rsidR="00AE7B5A" w:rsidRPr="00F64C94">
        <w:t xml:space="preserve"> </w:t>
      </w:r>
      <w:r w:rsidR="0010418E" w:rsidRPr="00F64C94">
        <w:t xml:space="preserve">European countries reported that at least </w:t>
      </w:r>
      <w:r w:rsidR="005C0FBE">
        <w:t>10</w:t>
      </w:r>
      <w:r w:rsidR="0010418E" w:rsidRPr="00F64C94">
        <w:t xml:space="preserve"> </w:t>
      </w:r>
      <w:r w:rsidR="0060369E" w:rsidRPr="00F64C94">
        <w:t>percent</w:t>
      </w:r>
      <w:r w:rsidR="0010418E" w:rsidRPr="00F64C94">
        <w:t xml:space="preserve"> of their farmland is organic. </w:t>
      </w:r>
    </w:p>
    <w:p w14:paraId="552210BF" w14:textId="77777777" w:rsidR="0010418E" w:rsidRPr="00F64C94" w:rsidRDefault="0010418E" w:rsidP="007B1234">
      <w:pPr>
        <w:pStyle w:val="FiBLmrsubheader"/>
        <w:spacing w:before="240" w:after="60"/>
      </w:pPr>
      <w:r w:rsidRPr="00F64C94">
        <w:t>Organic producers on the rise</w:t>
      </w:r>
    </w:p>
    <w:p w14:paraId="16E95E0F" w14:textId="3EA14CDB" w:rsidR="0010418E" w:rsidRPr="00F64C94" w:rsidRDefault="0010418E" w:rsidP="001355DA">
      <w:pPr>
        <w:pStyle w:val="FiBLmrstandard"/>
      </w:pPr>
      <w:r w:rsidRPr="00F64C94">
        <w:t xml:space="preserve">There were </w:t>
      </w:r>
      <w:r w:rsidR="00DB58A2" w:rsidRPr="00F64C94">
        <w:t xml:space="preserve">almost </w:t>
      </w:r>
      <w:r w:rsidR="00A170AA" w:rsidRPr="00F64C94">
        <w:t>4</w:t>
      </w:r>
      <w:r w:rsidR="00AE7B5A">
        <w:t>3</w:t>
      </w:r>
      <w:r w:rsidR="00A170AA" w:rsidRPr="00F64C94">
        <w:t>0</w:t>
      </w:r>
      <w:r w:rsidR="00DB58A2" w:rsidRPr="00F64C94">
        <w:t>’000</w:t>
      </w:r>
      <w:r w:rsidR="00824DC6">
        <w:t xml:space="preserve"> organic producers in Europe and </w:t>
      </w:r>
      <w:r w:rsidR="00964193" w:rsidRPr="00F64C94">
        <w:t>almost 3</w:t>
      </w:r>
      <w:r w:rsidR="00964193">
        <w:t>43</w:t>
      </w:r>
      <w:r w:rsidR="00964193" w:rsidRPr="00F64C94">
        <w:t>'000</w:t>
      </w:r>
      <w:r w:rsidR="00964193">
        <w:t xml:space="preserve"> </w:t>
      </w:r>
      <w:r w:rsidR="00824DC6">
        <w:t>in the European Union</w:t>
      </w:r>
      <w:r w:rsidR="00C4769C">
        <w:t>. T</w:t>
      </w:r>
      <w:r w:rsidRPr="00F64C94">
        <w:t xml:space="preserve">he largest numbers </w:t>
      </w:r>
      <w:r w:rsidRPr="00F64C94">
        <w:rPr>
          <w:noProof/>
        </w:rPr>
        <w:t>were</w:t>
      </w:r>
      <w:r w:rsidRPr="00F64C94">
        <w:t xml:space="preserve"> in Turkey (</w:t>
      </w:r>
      <w:r w:rsidR="00A170AA" w:rsidRPr="00F64C94">
        <w:t>almost</w:t>
      </w:r>
      <w:r w:rsidR="00DB58A2" w:rsidRPr="00F64C94">
        <w:t xml:space="preserve"> </w:t>
      </w:r>
      <w:r w:rsidR="00AE7B5A">
        <w:t>74’545</w:t>
      </w:r>
      <w:r w:rsidRPr="00F64C94">
        <w:t>) and Italy (</w:t>
      </w:r>
      <w:r w:rsidR="00426896">
        <w:t>70’561</w:t>
      </w:r>
      <w:r w:rsidRPr="00F64C94">
        <w:t xml:space="preserve">). The number of producers grew </w:t>
      </w:r>
      <w:r w:rsidR="00DB58A2" w:rsidRPr="00F64C94">
        <w:t xml:space="preserve">by </w:t>
      </w:r>
      <w:r w:rsidR="00426896">
        <w:t>2.8</w:t>
      </w:r>
      <w:r w:rsidR="00824DC6">
        <w:t xml:space="preserve"> percent in Europe and by </w:t>
      </w:r>
      <w:r w:rsidR="00426896">
        <w:t>5.0</w:t>
      </w:r>
      <w:r w:rsidR="00A170AA" w:rsidRPr="00F64C94">
        <w:t xml:space="preserve"> percent</w:t>
      </w:r>
      <w:r w:rsidRPr="00F64C94">
        <w:t xml:space="preserve"> in the European</w:t>
      </w:r>
      <w:r w:rsidR="00824DC6">
        <w:t xml:space="preserve"> Union</w:t>
      </w:r>
      <w:r w:rsidRPr="00F64C94">
        <w:t xml:space="preserve">. </w:t>
      </w:r>
    </w:p>
    <w:p w14:paraId="11CA23CB" w14:textId="3DF12544" w:rsidR="0010418E" w:rsidRPr="00F64C94" w:rsidRDefault="00006BB1" w:rsidP="007B1234">
      <w:pPr>
        <w:pStyle w:val="FiBLmrsubheader"/>
        <w:spacing w:before="240" w:after="60"/>
      </w:pPr>
      <w:r w:rsidRPr="00F64C94">
        <w:lastRenderedPageBreak/>
        <w:t>Continued</w:t>
      </w:r>
      <w:r w:rsidR="0010418E" w:rsidRPr="00F64C94">
        <w:t xml:space="preserve"> growth of processors and importers</w:t>
      </w:r>
    </w:p>
    <w:p w14:paraId="12CBDB05" w14:textId="298C5F04" w:rsidR="0010418E" w:rsidRPr="00F64C94" w:rsidRDefault="0010418E" w:rsidP="001355DA">
      <w:pPr>
        <w:pStyle w:val="FiBLmrstandard"/>
      </w:pPr>
      <w:r w:rsidRPr="00F64C94">
        <w:t xml:space="preserve">There were </w:t>
      </w:r>
      <w:r w:rsidR="00006BB1" w:rsidRPr="00F64C94">
        <w:t xml:space="preserve">almost </w:t>
      </w:r>
      <w:r w:rsidR="00426896">
        <w:t>82</w:t>
      </w:r>
      <w:r w:rsidR="00006BB1" w:rsidRPr="00F64C94">
        <w:t>’0</w:t>
      </w:r>
      <w:r w:rsidR="00F0723F" w:rsidRPr="00F64C94">
        <w:t>00</w:t>
      </w:r>
      <w:r w:rsidRPr="00F64C94">
        <w:t xml:space="preserve"> processors in Europe and </w:t>
      </w:r>
      <w:r w:rsidR="00426896">
        <w:t>over</w:t>
      </w:r>
      <w:r w:rsidR="00426896" w:rsidRPr="00F64C94">
        <w:t xml:space="preserve"> </w:t>
      </w:r>
      <w:r w:rsidR="00006BB1" w:rsidRPr="00F64C94">
        <w:t>7</w:t>
      </w:r>
      <w:r w:rsidR="00426896">
        <w:t>8</w:t>
      </w:r>
      <w:r w:rsidRPr="00F64C94">
        <w:t>’000 in the European Union</w:t>
      </w:r>
      <w:r w:rsidR="00006BB1" w:rsidRPr="00F64C94">
        <w:t xml:space="preserve">. </w:t>
      </w:r>
      <w:r w:rsidR="00426896">
        <w:t>Over</w:t>
      </w:r>
      <w:r w:rsidR="00426896" w:rsidRPr="00F64C94">
        <w:t xml:space="preserve"> </w:t>
      </w:r>
      <w:r w:rsidR="00426896">
        <w:t>6’500</w:t>
      </w:r>
      <w:r w:rsidRPr="00F64C94">
        <w:t xml:space="preserve"> importers </w:t>
      </w:r>
      <w:r w:rsidRPr="00F64C94">
        <w:rPr>
          <w:noProof/>
        </w:rPr>
        <w:t>were counted</w:t>
      </w:r>
      <w:r w:rsidRPr="00F64C94">
        <w:t xml:space="preserve"> in Europe and </w:t>
      </w:r>
      <w:r w:rsidR="00426896">
        <w:t>almost</w:t>
      </w:r>
      <w:r w:rsidR="00006BB1" w:rsidRPr="00F64C94">
        <w:t xml:space="preserve"> 5</w:t>
      </w:r>
      <w:r w:rsidRPr="00F64C94">
        <w:t>‘</w:t>
      </w:r>
      <w:r w:rsidR="00426896">
        <w:t>8</w:t>
      </w:r>
      <w:r w:rsidRPr="00F64C94">
        <w:t>00 in the European Union. The country with the largest number of processors was Italy (</w:t>
      </w:r>
      <w:r w:rsidR="00426896">
        <w:t>nearly</w:t>
      </w:r>
      <w:r w:rsidR="00DB58A2" w:rsidRPr="00F64C94">
        <w:t xml:space="preserve"> </w:t>
      </w:r>
      <w:r w:rsidR="00006BB1" w:rsidRPr="00F64C94">
        <w:t>2</w:t>
      </w:r>
      <w:r w:rsidR="00426896">
        <w:t>2</w:t>
      </w:r>
      <w:r w:rsidRPr="00F64C94">
        <w:t>‘000), while Germany had the most importers (</w:t>
      </w:r>
      <w:r w:rsidR="00006BB1" w:rsidRPr="00F64C94">
        <w:t>more than</w:t>
      </w:r>
      <w:r w:rsidRPr="00F64C94">
        <w:t xml:space="preserve"> 1</w:t>
      </w:r>
      <w:r w:rsidR="00073330">
        <w:t>’</w:t>
      </w:r>
      <w:r w:rsidR="00426896">
        <w:t>8</w:t>
      </w:r>
      <w:r w:rsidRPr="00F64C94">
        <w:t>00).</w:t>
      </w:r>
    </w:p>
    <w:p w14:paraId="319E121A" w14:textId="2DF55A8A" w:rsidR="0010418E" w:rsidRPr="00F64C94" w:rsidRDefault="0010418E" w:rsidP="007B1234">
      <w:pPr>
        <w:pStyle w:val="FiBLmrsubheader"/>
        <w:spacing w:before="240" w:after="60"/>
      </w:pPr>
      <w:r w:rsidRPr="00F64C94">
        <w:t xml:space="preserve">Retail sales </w:t>
      </w:r>
      <w:r w:rsidR="00426896">
        <w:t>reach</w:t>
      </w:r>
      <w:r w:rsidR="00426896" w:rsidRPr="00F64C94">
        <w:t xml:space="preserve"> </w:t>
      </w:r>
      <w:r w:rsidR="000B0146" w:rsidRPr="000B0146">
        <w:t>€</w:t>
      </w:r>
      <w:r w:rsidR="00A73B2A" w:rsidRPr="00F64C94">
        <w:t>4</w:t>
      </w:r>
      <w:r w:rsidR="00426896">
        <w:t>5.0</w:t>
      </w:r>
      <w:r w:rsidR="00DB58A2" w:rsidRPr="00F64C94">
        <w:t xml:space="preserve"> </w:t>
      </w:r>
      <w:r w:rsidRPr="00F64C94">
        <w:t>billion</w:t>
      </w:r>
    </w:p>
    <w:p w14:paraId="18294DA2" w14:textId="01B71089" w:rsidR="0010418E" w:rsidRPr="00F64C94" w:rsidRDefault="0010418E" w:rsidP="001355DA">
      <w:pPr>
        <w:pStyle w:val="FiBLmrstandard"/>
      </w:pPr>
      <w:r w:rsidRPr="00F64C94">
        <w:t xml:space="preserve">Retail sales in Europe </w:t>
      </w:r>
      <w:r w:rsidRPr="00F64C94">
        <w:rPr>
          <w:noProof/>
        </w:rPr>
        <w:t>were valued</w:t>
      </w:r>
      <w:r w:rsidRPr="00F64C94">
        <w:t xml:space="preserve"> at </w:t>
      </w:r>
      <w:r w:rsidR="000B0146" w:rsidRPr="000B0146">
        <w:t>€</w:t>
      </w:r>
      <w:r w:rsidR="00426896">
        <w:t>45.0</w:t>
      </w:r>
      <w:r w:rsidR="007B707B" w:rsidRPr="00F64C94">
        <w:t xml:space="preserve"> </w:t>
      </w:r>
      <w:r w:rsidRPr="00F64C94">
        <w:t>billion (</w:t>
      </w:r>
      <w:r w:rsidR="000B0146" w:rsidRPr="000B0146">
        <w:t>€</w:t>
      </w:r>
      <w:r w:rsidR="00426896">
        <w:t>41.4</w:t>
      </w:r>
      <w:r w:rsidR="007B707B" w:rsidRPr="00F64C94">
        <w:t xml:space="preserve"> </w:t>
      </w:r>
      <w:r w:rsidRPr="00F64C94">
        <w:t xml:space="preserve">billion in the European Union). </w:t>
      </w:r>
      <w:r w:rsidR="0025116B" w:rsidRPr="00F64C94">
        <w:t>The largest market was Germany (</w:t>
      </w:r>
      <w:r w:rsidR="000B0146" w:rsidRPr="000B0146">
        <w:t>€</w:t>
      </w:r>
      <w:r w:rsidR="00426896">
        <w:t>12.0</w:t>
      </w:r>
      <w:r w:rsidR="0025116B" w:rsidRPr="00F64C94">
        <w:t xml:space="preserve"> billion). </w:t>
      </w:r>
      <w:r w:rsidRPr="00F64C94">
        <w:t>The European Union represents the second largest single market for organic products in the world after the United States</w:t>
      </w:r>
      <w:r w:rsidR="0025116B" w:rsidRPr="00F64C94">
        <w:t xml:space="preserve"> (</w:t>
      </w:r>
      <w:r w:rsidR="000B0146" w:rsidRPr="000B0146">
        <w:t>€</w:t>
      </w:r>
      <w:r w:rsidR="00426896">
        <w:t>44.7</w:t>
      </w:r>
      <w:r w:rsidR="0025116B" w:rsidRPr="00F64C94">
        <w:t xml:space="preserve"> billion). </w:t>
      </w:r>
    </w:p>
    <w:p w14:paraId="0393FFB2" w14:textId="31562D6C" w:rsidR="0010418E" w:rsidRPr="00F64C94" w:rsidRDefault="001D078F" w:rsidP="007B1234">
      <w:pPr>
        <w:pStyle w:val="FiBLmrsubheader"/>
        <w:spacing w:before="240" w:after="60"/>
      </w:pPr>
      <w:r w:rsidRPr="00F64C94">
        <w:t>Steady growth</w:t>
      </w:r>
      <w:r w:rsidR="0010418E" w:rsidRPr="00F64C94">
        <w:t xml:space="preserve"> of retail sales in </w:t>
      </w:r>
      <w:r w:rsidR="00DB58A2" w:rsidRPr="00F64C94">
        <w:t>201</w:t>
      </w:r>
      <w:r w:rsidR="00426896">
        <w:t>9</w:t>
      </w:r>
    </w:p>
    <w:p w14:paraId="5FC4F9D9" w14:textId="7687F219" w:rsidR="0010418E" w:rsidRPr="00F64C94" w:rsidRDefault="0010418E" w:rsidP="001355DA">
      <w:pPr>
        <w:pStyle w:val="FiBLmrstandard"/>
      </w:pPr>
      <w:r w:rsidRPr="00F64C94">
        <w:t xml:space="preserve">The European market recorded a growth rate </w:t>
      </w:r>
      <w:r w:rsidR="000C675A" w:rsidRPr="00F64C94">
        <w:t xml:space="preserve">of </w:t>
      </w:r>
      <w:r w:rsidR="00426896">
        <w:t>8.0</w:t>
      </w:r>
      <w:r w:rsidRPr="00F64C94">
        <w:t xml:space="preserve"> percent. Among the key markets, the highest growth </w:t>
      </w:r>
      <w:r w:rsidRPr="00F64C94">
        <w:rPr>
          <w:noProof/>
        </w:rPr>
        <w:t>was observed</w:t>
      </w:r>
      <w:r w:rsidRPr="00F64C94">
        <w:t xml:space="preserve"> in </w:t>
      </w:r>
      <w:r w:rsidR="00D30DE7">
        <w:t>France</w:t>
      </w:r>
      <w:r w:rsidR="00D30DE7" w:rsidRPr="00F64C94">
        <w:t xml:space="preserve"> </w:t>
      </w:r>
      <w:r w:rsidRPr="00F64C94">
        <w:t>(</w:t>
      </w:r>
      <w:r w:rsidR="00426896">
        <w:t>13.</w:t>
      </w:r>
      <w:r w:rsidR="00D30DE7">
        <w:t>4</w:t>
      </w:r>
      <w:r w:rsidR="007B707B" w:rsidRPr="00F64C94">
        <w:t xml:space="preserve"> </w:t>
      </w:r>
      <w:r w:rsidRPr="00F64C94">
        <w:t xml:space="preserve">percent). In the decade </w:t>
      </w:r>
      <w:r w:rsidR="007B707B" w:rsidRPr="00F64C94">
        <w:t>20</w:t>
      </w:r>
      <w:r w:rsidR="00426896">
        <w:t>10</w:t>
      </w:r>
      <w:r w:rsidRPr="00F64C94">
        <w:t>-</w:t>
      </w:r>
      <w:r w:rsidR="00111FC1" w:rsidRPr="00F64C94">
        <w:t>201</w:t>
      </w:r>
      <w:r w:rsidR="00426896">
        <w:t>9</w:t>
      </w:r>
      <w:r w:rsidRPr="00F64C94">
        <w:t xml:space="preserve">, the European and </w:t>
      </w:r>
      <w:r w:rsidRPr="00F64C94">
        <w:rPr>
          <w:noProof/>
        </w:rPr>
        <w:t>European</w:t>
      </w:r>
      <w:r w:rsidR="003F4287" w:rsidRPr="00F64C94">
        <w:t xml:space="preserve"> Union </w:t>
      </w:r>
      <w:r w:rsidR="00984E5B">
        <w:t>markets' value</w:t>
      </w:r>
      <w:r w:rsidRPr="00F64C94">
        <w:t xml:space="preserve"> has more than doubled.</w:t>
      </w:r>
    </w:p>
    <w:p w14:paraId="22B1DDCA" w14:textId="77777777" w:rsidR="0010418E" w:rsidRPr="00F64C94" w:rsidRDefault="0010418E" w:rsidP="007B1234">
      <w:pPr>
        <w:pStyle w:val="FiBLmrsubheader"/>
        <w:spacing w:before="240" w:after="60"/>
      </w:pPr>
      <w:r w:rsidRPr="00F64C94">
        <w:t>European consumers spend more on organic food</w:t>
      </w:r>
    </w:p>
    <w:p w14:paraId="1C964DB3" w14:textId="3BFF982E" w:rsidR="0010418E" w:rsidRPr="00F64C94" w:rsidRDefault="0060369E" w:rsidP="001355DA">
      <w:pPr>
        <w:pStyle w:val="FiBLmrstandard"/>
      </w:pPr>
      <w:r w:rsidRPr="00F64C94">
        <w:t xml:space="preserve">In </w:t>
      </w:r>
      <w:r w:rsidR="0010418E" w:rsidRPr="00F64C94">
        <w:t xml:space="preserve">Europe, consumers spent </w:t>
      </w:r>
      <w:r w:rsidR="000B0146" w:rsidRPr="000B0146">
        <w:t>€</w:t>
      </w:r>
      <w:r w:rsidR="00724069" w:rsidRPr="00F64C94">
        <w:t>5</w:t>
      </w:r>
      <w:r w:rsidR="00426896">
        <w:t>6</w:t>
      </w:r>
      <w:r w:rsidR="0010418E" w:rsidRPr="00F64C94">
        <w:t xml:space="preserve"> on organic food per person</w:t>
      </w:r>
      <w:r w:rsidR="00FB1B87" w:rsidRPr="00F64C94">
        <w:t xml:space="preserve"> annually</w:t>
      </w:r>
      <w:r w:rsidR="0010418E" w:rsidRPr="00F64C94">
        <w:t xml:space="preserve"> (European Union: </w:t>
      </w:r>
      <w:r w:rsidR="000B0146" w:rsidRPr="000B0146">
        <w:t>€</w:t>
      </w:r>
      <w:r w:rsidR="00426896">
        <w:t>84</w:t>
      </w:r>
      <w:r w:rsidR="0010418E" w:rsidRPr="00F64C94">
        <w:t xml:space="preserve">). Per </w:t>
      </w:r>
      <w:r w:rsidR="0010418E" w:rsidRPr="00F64C94">
        <w:rPr>
          <w:noProof/>
        </w:rPr>
        <w:t>capita</w:t>
      </w:r>
      <w:r w:rsidR="00984E5B">
        <w:rPr>
          <w:noProof/>
        </w:rPr>
        <w:t>,</w:t>
      </w:r>
      <w:r w:rsidR="0010418E" w:rsidRPr="00F64C94">
        <w:t xml:space="preserve"> consumer spending on organic food has doubled in the last decade. </w:t>
      </w:r>
      <w:r w:rsidR="00426896">
        <w:t xml:space="preserve">In 2019, </w:t>
      </w:r>
      <w:r w:rsidR="00B42BDB">
        <w:t>Danish</w:t>
      </w:r>
      <w:r w:rsidR="00724069" w:rsidRPr="00F64C94">
        <w:t xml:space="preserve"> and </w:t>
      </w:r>
      <w:r w:rsidR="0010418E" w:rsidRPr="00F64C94">
        <w:t xml:space="preserve">Swiss </w:t>
      </w:r>
      <w:r w:rsidR="00B42BDB">
        <w:t xml:space="preserve">consumers </w:t>
      </w:r>
      <w:r w:rsidR="0010418E" w:rsidRPr="00F64C94">
        <w:t>spent the most money on organic food (</w:t>
      </w:r>
      <w:r w:rsidR="000B0146" w:rsidRPr="000B0146">
        <w:t>€</w:t>
      </w:r>
      <w:r w:rsidR="00724069" w:rsidRPr="00F64C94">
        <w:t>3</w:t>
      </w:r>
      <w:r w:rsidR="00426896">
        <w:t xml:space="preserve">44 and </w:t>
      </w:r>
      <w:r w:rsidR="000B0146" w:rsidRPr="000B0146">
        <w:t>€</w:t>
      </w:r>
      <w:r w:rsidR="00426896">
        <w:t>338</w:t>
      </w:r>
      <w:r w:rsidR="00F0723F" w:rsidRPr="00F64C94">
        <w:t xml:space="preserve"> </w:t>
      </w:r>
      <w:r w:rsidR="0010418E" w:rsidRPr="00F64C94">
        <w:t>per capita</w:t>
      </w:r>
      <w:r w:rsidR="00426896">
        <w:t>, respectively</w:t>
      </w:r>
      <w:r w:rsidR="0010418E" w:rsidRPr="00F64C94">
        <w:t xml:space="preserve">). </w:t>
      </w:r>
    </w:p>
    <w:p w14:paraId="4D2F9229" w14:textId="6BB04CA9" w:rsidR="0010418E" w:rsidRPr="00F64C94" w:rsidRDefault="007B707B" w:rsidP="007B1234">
      <w:pPr>
        <w:pStyle w:val="FiBLmrsubheader"/>
        <w:spacing w:before="240" w:after="60"/>
      </w:pPr>
      <w:r w:rsidRPr="00F64C94">
        <w:t>Denmark has the highest organic market share in the world</w:t>
      </w:r>
    </w:p>
    <w:p w14:paraId="35070955" w14:textId="37267274" w:rsidR="0010418E" w:rsidRDefault="0010418E" w:rsidP="001355DA">
      <w:pPr>
        <w:pStyle w:val="FiBLmrstandard"/>
      </w:pPr>
      <w:r w:rsidRPr="00F64C94">
        <w:t xml:space="preserve">Globally, European countries account for the highest shares of organic food sales as a percentage of their respective food markets. Denmark </w:t>
      </w:r>
      <w:r w:rsidR="00426896">
        <w:t xml:space="preserve">has the highest </w:t>
      </w:r>
      <w:r w:rsidR="00E7130C">
        <w:t xml:space="preserve">organic food sales </w:t>
      </w:r>
      <w:r w:rsidR="00426896">
        <w:t xml:space="preserve">share </w:t>
      </w:r>
      <w:r w:rsidRPr="00F64C94">
        <w:t>worldwide</w:t>
      </w:r>
      <w:r w:rsidR="00E7130C">
        <w:t xml:space="preserve">, with 12.1 percent in 2019, followed by Switzerland with </w:t>
      </w:r>
      <w:r w:rsidR="00C4769C">
        <w:t>a</w:t>
      </w:r>
      <w:r w:rsidR="00E7130C">
        <w:t xml:space="preserve"> share of 10.4 percent and Austria with 9.3 percent</w:t>
      </w:r>
      <w:r w:rsidRPr="00F64C94">
        <w:t xml:space="preserve">. </w:t>
      </w:r>
    </w:p>
    <w:p w14:paraId="75B3A0DE" w14:textId="05888637" w:rsidR="00256FE1" w:rsidRPr="00EF32A3" w:rsidRDefault="00256FE1" w:rsidP="00073330">
      <w:pPr>
        <w:pStyle w:val="FiBLmrsubheader"/>
        <w:spacing w:before="240" w:after="60"/>
      </w:pPr>
      <w:r w:rsidRPr="00073330">
        <w:t>Quotes</w:t>
      </w:r>
    </w:p>
    <w:p w14:paraId="4CCDCD99" w14:textId="77777777" w:rsidR="00116C30" w:rsidRDefault="00116C30" w:rsidP="00116C30">
      <w:pPr>
        <w:pStyle w:val="FiBLmrstandard"/>
      </w:pPr>
      <w:r w:rsidRPr="00116C30">
        <w:t xml:space="preserve">According to Helga Willer, responsible for data collection at FiBL, the numbers for 2019 show a promising growth of the organic area and market. “However, the organic area will have to continue to grow in the coming years in order to reach the European Commission’s goal of 25 percent organically farmed land by 2030.” </w:t>
      </w:r>
    </w:p>
    <w:p w14:paraId="21E81EAD" w14:textId="4DD05806" w:rsidR="0DB77902" w:rsidRPr="00073330" w:rsidRDefault="0DB77902" w:rsidP="00116C30">
      <w:pPr>
        <w:pStyle w:val="FiBLmrstandard"/>
      </w:pPr>
      <w:r>
        <w:t xml:space="preserve">Eduardo </w:t>
      </w:r>
      <w:proofErr w:type="spellStart"/>
      <w:r>
        <w:t>Cuoco</w:t>
      </w:r>
      <w:proofErr w:type="spellEnd"/>
      <w:r>
        <w:t xml:space="preserve">, Director at IFOAM Organics Europe, continued: </w:t>
      </w:r>
      <w:r w:rsidR="003A5728">
        <w:t>“</w:t>
      </w:r>
      <w:r>
        <w:t>This data shows the European organic market’s potential to reach the objective of 25</w:t>
      </w:r>
      <w:r w:rsidR="00B509A5">
        <w:t xml:space="preserve"> percent</w:t>
      </w:r>
      <w:r>
        <w:t xml:space="preserve"> organic land by 20</w:t>
      </w:r>
      <w:r w:rsidR="00BD333C">
        <w:t>3</w:t>
      </w:r>
      <w:r>
        <w:t xml:space="preserve">0 </w:t>
      </w:r>
      <w:r w:rsidR="004707B1">
        <w:t xml:space="preserve">put forward </w:t>
      </w:r>
      <w:r>
        <w:t xml:space="preserve">in the EU </w:t>
      </w:r>
      <w:r w:rsidR="44ABFC01">
        <w:t>Biodiversity</w:t>
      </w:r>
      <w:r>
        <w:t xml:space="preserve"> and Farm to Fork </w:t>
      </w:r>
      <w:r w:rsidR="00CA2E6C">
        <w:t>s</w:t>
      </w:r>
      <w:r>
        <w:t>trateg</w:t>
      </w:r>
      <w:r w:rsidR="00CA2E6C">
        <w:t>ies</w:t>
      </w:r>
      <w:r>
        <w:t xml:space="preserve">. </w:t>
      </w:r>
      <w:r w:rsidR="66AA8594">
        <w:t>T</w:t>
      </w:r>
      <w:r w:rsidRPr="00073330">
        <w:t xml:space="preserve">o reach this </w:t>
      </w:r>
      <w:r w:rsidR="49418A0A" w:rsidRPr="00073330">
        <w:t xml:space="preserve">target the organic sector needs </w:t>
      </w:r>
      <w:r>
        <w:t xml:space="preserve">political support </w:t>
      </w:r>
      <w:r w:rsidR="00CA2E6C">
        <w:t xml:space="preserve">at </w:t>
      </w:r>
      <w:r>
        <w:t>all levels</w:t>
      </w:r>
      <w:r w:rsidR="00CA2E6C">
        <w:t xml:space="preserve">. This </w:t>
      </w:r>
      <w:r w:rsidRPr="00073330">
        <w:t>includ</w:t>
      </w:r>
      <w:r w:rsidR="00CA2E6C">
        <w:t>es</w:t>
      </w:r>
      <w:r w:rsidRPr="00073330">
        <w:t xml:space="preserve"> a good regulatory framework, adequate support under the CAP</w:t>
      </w:r>
      <w:r w:rsidR="00CA2E6C">
        <w:t xml:space="preserve"> –</w:t>
      </w:r>
      <w:r w:rsidR="1F65D626" w:rsidRPr="00073330">
        <w:t xml:space="preserve"> with </w:t>
      </w:r>
      <w:r w:rsidR="6136E9FC" w:rsidRPr="00073330">
        <w:t xml:space="preserve">clear support for organic in the </w:t>
      </w:r>
      <w:r w:rsidR="0268A986" w:rsidRPr="00073330">
        <w:t>national strategic</w:t>
      </w:r>
      <w:r w:rsidR="28C2ABD3">
        <w:t xml:space="preserve"> </w:t>
      </w:r>
      <w:r w:rsidR="1F65D626">
        <w:t xml:space="preserve">action plans </w:t>
      </w:r>
      <w:r w:rsidR="00CA2E6C">
        <w:t xml:space="preserve">– </w:t>
      </w:r>
      <w:r w:rsidR="6168145C">
        <w:t>and</w:t>
      </w:r>
      <w:r w:rsidR="1F65D626">
        <w:t xml:space="preserve"> </w:t>
      </w:r>
      <w:r w:rsidRPr="00073330">
        <w:t xml:space="preserve">a </w:t>
      </w:r>
      <w:r w:rsidR="556AF11A" w:rsidRPr="00073330">
        <w:t>powerful</w:t>
      </w:r>
      <w:r w:rsidRPr="00073330">
        <w:t xml:space="preserve"> European </w:t>
      </w:r>
      <w:r w:rsidR="00CA2E6C">
        <w:t xml:space="preserve">Organic </w:t>
      </w:r>
      <w:r w:rsidRPr="00073330">
        <w:t xml:space="preserve">Action Plan </w:t>
      </w:r>
      <w:r w:rsidR="1A0EC3E7" w:rsidRPr="00073330">
        <w:t>with concrete actions support</w:t>
      </w:r>
      <w:r w:rsidR="00997CC3">
        <w:t>ing</w:t>
      </w:r>
      <w:r w:rsidR="1A0EC3E7" w:rsidRPr="00073330">
        <w:t xml:space="preserve"> conversion, market development and </w:t>
      </w:r>
      <w:r w:rsidR="1A0EC3E7" w:rsidRPr="00073330">
        <w:lastRenderedPageBreak/>
        <w:t xml:space="preserve">capacity building of the </w:t>
      </w:r>
      <w:r w:rsidR="1F4755A7" w:rsidRPr="00073330">
        <w:t>European</w:t>
      </w:r>
      <w:r w:rsidR="1A0EC3E7" w:rsidRPr="00073330">
        <w:t xml:space="preserve"> organic sector. </w:t>
      </w:r>
      <w:hyperlink r:id="rId13" w:history="1"/>
      <w:r w:rsidR="1A0EC3E7">
        <w:t xml:space="preserve">We will </w:t>
      </w:r>
      <w:r w:rsidR="4FCE8791">
        <w:t>work closely</w:t>
      </w:r>
      <w:r w:rsidR="1A0EC3E7">
        <w:t xml:space="preserve"> with all the </w:t>
      </w:r>
      <w:r w:rsidR="163B25F5">
        <w:t>stakeholders to develop</w:t>
      </w:r>
      <w:r w:rsidR="1A0EC3E7">
        <w:t xml:space="preserve"> tools to measure</w:t>
      </w:r>
      <w:r w:rsidR="3F76E7A1">
        <w:t xml:space="preserve"> </w:t>
      </w:r>
      <w:r w:rsidR="636ABD5E">
        <w:t>and</w:t>
      </w:r>
      <w:r w:rsidR="3F76E7A1">
        <w:t xml:space="preserve"> support </w:t>
      </w:r>
      <w:r w:rsidR="71C7393C">
        <w:t>organic</w:t>
      </w:r>
      <w:r w:rsidR="1A0EC3E7">
        <w:t xml:space="preserve"> </w:t>
      </w:r>
      <w:r w:rsidR="3A5F7909">
        <w:t>growth.</w:t>
      </w:r>
      <w:r w:rsidR="003A5728">
        <w:t>”</w:t>
      </w:r>
      <w:r w:rsidR="1A0EC3E7" w:rsidRPr="00073330">
        <w:t xml:space="preserve"> </w:t>
      </w:r>
      <w:r w:rsidR="27BD13D5" w:rsidRPr="00073330">
        <w:t xml:space="preserve"> </w:t>
      </w:r>
    </w:p>
    <w:p w14:paraId="406B3720" w14:textId="428F7811" w:rsidR="00594B89" w:rsidRPr="00F64C94" w:rsidRDefault="0008048E" w:rsidP="001355DA">
      <w:pPr>
        <w:pStyle w:val="FiBLmrstandard"/>
      </w:pPr>
      <w:r>
        <w:t xml:space="preserve">Diana </w:t>
      </w:r>
      <w:proofErr w:type="spellStart"/>
      <w:r>
        <w:t>Schaack</w:t>
      </w:r>
      <w:proofErr w:type="spellEnd"/>
      <w:r w:rsidR="0053096A">
        <w:t xml:space="preserve">, </w:t>
      </w:r>
      <w:r w:rsidR="002A4613">
        <w:t xml:space="preserve">a </w:t>
      </w:r>
      <w:r w:rsidR="0053096A">
        <w:t>market analyst at A</w:t>
      </w:r>
      <w:r>
        <w:t>MI</w:t>
      </w:r>
      <w:r w:rsidR="002A4613">
        <w:t>,</w:t>
      </w:r>
      <w:r>
        <w:t xml:space="preserve"> adds: “We are already looking forward to the consolidated market data for 2020. Last year the organic market in many countries exhibited accelerated growth due to the </w:t>
      </w:r>
      <w:r w:rsidR="0053096A">
        <w:t>pandemic</w:t>
      </w:r>
      <w:r>
        <w:t xml:space="preserve">. If this trend sustains, production and processing have to keep pace. The </w:t>
      </w:r>
      <w:r w:rsidR="00535A81">
        <w:t>F</w:t>
      </w:r>
      <w:r>
        <w:t xml:space="preserve">arm to </w:t>
      </w:r>
      <w:r w:rsidR="00535A81">
        <w:t>F</w:t>
      </w:r>
      <w:r>
        <w:t xml:space="preserve">ork strategy of the European Union can support this development with respective </w:t>
      </w:r>
      <w:proofErr w:type="gramStart"/>
      <w:r>
        <w:t>measures.</w:t>
      </w:r>
      <w:r w:rsidR="00535A81">
        <w:t>“</w:t>
      </w:r>
      <w:proofErr w:type="gramEnd"/>
    </w:p>
    <w:p w14:paraId="5B809F36" w14:textId="14FDF3D4" w:rsidR="004144BD" w:rsidRDefault="002A4613" w:rsidP="00073330">
      <w:pPr>
        <w:pStyle w:val="FiBLmrstandard"/>
      </w:pPr>
      <w:r>
        <w:rPr>
          <w:noProof/>
        </w:rPr>
        <w:t>FiBL and AMI conducted the survey on organic farming in Europe</w:t>
      </w:r>
      <w:r w:rsidR="0010418E" w:rsidRPr="00F64C94">
        <w:t>. The FiBL data collection w</w:t>
      </w:r>
      <w:r w:rsidR="007B707B" w:rsidRPr="00F64C94">
        <w:t>as</w:t>
      </w:r>
      <w:r w:rsidR="0010418E" w:rsidRPr="00F64C94">
        <w:t xml:space="preserve"> carried out </w:t>
      </w:r>
      <w:r w:rsidR="0008266D" w:rsidRPr="00F64C94">
        <w:t>in</w:t>
      </w:r>
      <w:r w:rsidR="0010418E" w:rsidRPr="00F64C94">
        <w:t xml:space="preserve"> the framework of the global survey on organic farming supported by the Swiss State Secretariat for Economic Affairs (SECO), the International Trade Centre (ITC), </w:t>
      </w:r>
      <w:r w:rsidR="007B707B" w:rsidRPr="00F64C94">
        <w:t xml:space="preserve">the Coop </w:t>
      </w:r>
      <w:r w:rsidR="00F0723F" w:rsidRPr="00F64C94">
        <w:t>Sustainability</w:t>
      </w:r>
      <w:r w:rsidR="007B707B" w:rsidRPr="00F64C94">
        <w:t xml:space="preserve"> Fund, </w:t>
      </w:r>
      <w:proofErr w:type="spellStart"/>
      <w:r w:rsidR="0010418E" w:rsidRPr="00F64C94">
        <w:t>NürnbergMesse</w:t>
      </w:r>
      <w:proofErr w:type="spellEnd"/>
      <w:r w:rsidR="0010418E" w:rsidRPr="00F64C94">
        <w:t xml:space="preserve"> and IFOAM – Organics International.</w:t>
      </w:r>
      <w:r w:rsidR="00B958BD">
        <w:t xml:space="preserve"> </w:t>
      </w:r>
    </w:p>
    <w:p w14:paraId="7B79C8E4" w14:textId="77777777" w:rsidR="007B1234" w:rsidRPr="00F64C94" w:rsidRDefault="007B1234">
      <w:pPr>
        <w:pStyle w:val="FiBLmraddinfo"/>
      </w:pPr>
      <w:r w:rsidRPr="00F64C94">
        <w:t>Further information</w:t>
      </w:r>
    </w:p>
    <w:p w14:paraId="0A1CCF23" w14:textId="77777777" w:rsidR="007B1234" w:rsidRPr="00F64C94" w:rsidRDefault="007B1234" w:rsidP="007B1234">
      <w:pPr>
        <w:pStyle w:val="FiBLmraddinfo"/>
      </w:pPr>
      <w:r w:rsidRPr="00F64C94">
        <w:t>Contacts</w:t>
      </w:r>
    </w:p>
    <w:p w14:paraId="083EDE11" w14:textId="77777777" w:rsidR="00155044" w:rsidRDefault="00155044" w:rsidP="00073330">
      <w:pPr>
        <w:pStyle w:val="FiBLmrbulletpoint"/>
        <w:numPr>
          <w:ilvl w:val="0"/>
          <w:numId w:val="0"/>
        </w:numPr>
      </w:pPr>
      <w:r>
        <w:t>For questions about organic data:</w:t>
      </w:r>
    </w:p>
    <w:p w14:paraId="0E433262" w14:textId="11F4C1A7" w:rsidR="007B1234" w:rsidRDefault="007B1234" w:rsidP="005663EA">
      <w:pPr>
        <w:pStyle w:val="FiBLmrbulletpoint"/>
      </w:pPr>
      <w:proofErr w:type="spellStart"/>
      <w:r w:rsidRPr="002346DF">
        <w:t>Dr.</w:t>
      </w:r>
      <w:proofErr w:type="spellEnd"/>
      <w:r w:rsidRPr="002346DF">
        <w:t xml:space="preserve"> Helga Willer, FiBL, </w:t>
      </w:r>
      <w:proofErr w:type="spellStart"/>
      <w:r w:rsidRPr="002346DF">
        <w:t>Ackerstrasse</w:t>
      </w:r>
      <w:proofErr w:type="spellEnd"/>
      <w:r w:rsidRPr="002346DF">
        <w:t xml:space="preserve"> 113, 5070 Frick, Switzerland</w:t>
      </w:r>
      <w:r w:rsidRPr="002346DF">
        <w:br/>
        <w:t xml:space="preserve">Phone +41 (0)79 218 06 26, </w:t>
      </w:r>
      <w:hyperlink r:id="rId14" w:history="1">
        <w:r w:rsidR="002346DF" w:rsidRPr="00784345">
          <w:rPr>
            <w:rStyle w:val="Hyperlink"/>
          </w:rPr>
          <w:t>helga.willer@fibl.org</w:t>
        </w:r>
      </w:hyperlink>
      <w:r w:rsidR="00155044" w:rsidRPr="002346DF" w:rsidDel="00155044">
        <w:t xml:space="preserve"> </w:t>
      </w:r>
    </w:p>
    <w:p w14:paraId="42F083B6" w14:textId="5F5E51D5" w:rsidR="007B1234" w:rsidRPr="00073330" w:rsidRDefault="00D30D62" w:rsidP="00A8728F">
      <w:pPr>
        <w:pStyle w:val="FiBLmrbulletpoint"/>
        <w:rPr>
          <w:rStyle w:val="Hyperlink"/>
          <w:color w:val="auto"/>
          <w:u w:val="none"/>
        </w:rPr>
      </w:pPr>
      <w:r w:rsidRPr="002346DF">
        <w:t xml:space="preserve">Diana </w:t>
      </w:r>
      <w:proofErr w:type="spellStart"/>
      <w:r w:rsidRPr="002346DF">
        <w:t>Schaack</w:t>
      </w:r>
      <w:proofErr w:type="spellEnd"/>
      <w:r w:rsidRPr="002346DF">
        <w:t xml:space="preserve">, </w:t>
      </w:r>
      <w:r w:rsidR="007B1234" w:rsidRPr="002346DF">
        <w:t>Agricultural Market Information Company</w:t>
      </w:r>
      <w:r w:rsidRPr="002346DF">
        <w:t xml:space="preserve"> (AMI)</w:t>
      </w:r>
      <w:r w:rsidR="007B1234" w:rsidRPr="002346DF">
        <w:t xml:space="preserve">, </w:t>
      </w:r>
      <w:proofErr w:type="spellStart"/>
      <w:r w:rsidR="007B1234" w:rsidRPr="002346DF">
        <w:t>Dreizehnmorgenweg</w:t>
      </w:r>
      <w:proofErr w:type="spellEnd"/>
      <w:r w:rsidR="007B1234" w:rsidRPr="002346DF">
        <w:t xml:space="preserve"> 10, 53175 Bonn, Germany</w:t>
      </w:r>
      <w:r w:rsidR="007B1234" w:rsidRPr="002346DF">
        <w:br/>
        <w:t xml:space="preserve">Phone +49 228 33805-0, </w:t>
      </w:r>
      <w:hyperlink r:id="rId15" w:history="1">
        <w:r w:rsidR="002346DF" w:rsidRPr="00784345">
          <w:rPr>
            <w:rStyle w:val="Hyperlink"/>
          </w:rPr>
          <w:t>diana.schaack@ami-informiert.de</w:t>
        </w:r>
      </w:hyperlink>
      <w:r w:rsidR="00155044" w:rsidRPr="002346DF" w:rsidDel="00155044">
        <w:t xml:space="preserve"> </w:t>
      </w:r>
    </w:p>
    <w:p w14:paraId="06F3BFFF" w14:textId="77777777" w:rsidR="00155044" w:rsidRDefault="0094355D" w:rsidP="00073330">
      <w:pPr>
        <w:pStyle w:val="FiBLmrbulletpoint"/>
        <w:numPr>
          <w:ilvl w:val="0"/>
          <w:numId w:val="0"/>
        </w:numPr>
        <w:ind w:left="142"/>
      </w:pPr>
      <w:r>
        <w:t xml:space="preserve">For the European organic movement’s position on reaching 25% organic land in Europe by 2030: </w:t>
      </w:r>
    </w:p>
    <w:p w14:paraId="41A49F2D" w14:textId="067CC5F6" w:rsidR="0094355D" w:rsidRDefault="0094355D" w:rsidP="00073330">
      <w:pPr>
        <w:pStyle w:val="FiBLmrbulletpoint"/>
        <w:rPr>
          <w:lang w:val="fr-BE"/>
        </w:rPr>
      </w:pPr>
      <w:r w:rsidRPr="003417DB">
        <w:rPr>
          <w:lang w:val="fr-BE"/>
        </w:rPr>
        <w:t xml:space="preserve">Eva </w:t>
      </w:r>
      <w:proofErr w:type="spellStart"/>
      <w:r w:rsidRPr="003417DB">
        <w:rPr>
          <w:lang w:val="fr-BE"/>
        </w:rPr>
        <w:t>Berckmans</w:t>
      </w:r>
      <w:proofErr w:type="spellEnd"/>
      <w:r w:rsidRPr="003417DB">
        <w:rPr>
          <w:lang w:val="fr-BE"/>
        </w:rPr>
        <w:t>, IFOAM Organics Europe</w:t>
      </w:r>
      <w:r w:rsidRPr="003417DB">
        <w:rPr>
          <w:lang w:val="fr-BE"/>
        </w:rPr>
        <w:br/>
      </w:r>
      <w:r w:rsidR="002216AF" w:rsidRPr="003417DB">
        <w:rPr>
          <w:lang w:val="fr-BE"/>
        </w:rPr>
        <w:t xml:space="preserve">Rue du Commerce 124-6, 1000 Brussels, </w:t>
      </w:r>
      <w:proofErr w:type="spellStart"/>
      <w:r w:rsidR="002216AF" w:rsidRPr="003417DB">
        <w:rPr>
          <w:lang w:val="fr-BE"/>
        </w:rPr>
        <w:t>Belgium</w:t>
      </w:r>
      <w:proofErr w:type="spellEnd"/>
      <w:r w:rsidR="002216AF" w:rsidRPr="003417DB">
        <w:rPr>
          <w:lang w:val="fr-BE"/>
        </w:rPr>
        <w:br/>
        <w:t>Phone +32 2 4</w:t>
      </w:r>
      <w:r w:rsidR="00BD35CD" w:rsidRPr="003417DB">
        <w:rPr>
          <w:lang w:val="fr-BE"/>
        </w:rPr>
        <w:t xml:space="preserve">16 52 32, </w:t>
      </w:r>
      <w:hyperlink r:id="rId16" w:history="1">
        <w:r w:rsidR="00515CC3" w:rsidRPr="009D06A1">
          <w:rPr>
            <w:rStyle w:val="Hyperlink"/>
            <w:lang w:val="fr-BE"/>
          </w:rPr>
          <w:t>eva.berckmans@organicseurope.bio</w:t>
        </w:r>
      </w:hyperlink>
    </w:p>
    <w:p w14:paraId="1FF9BA1B" w14:textId="77777777" w:rsidR="009B0C59" w:rsidRPr="00F64C94" w:rsidRDefault="009B0C59" w:rsidP="009B0C59">
      <w:pPr>
        <w:pStyle w:val="FiBLmraddinfo"/>
      </w:pPr>
      <w:r w:rsidRPr="00F64C94">
        <w:t>Download, infographics and online databases</w:t>
      </w:r>
    </w:p>
    <w:p w14:paraId="4A65613E" w14:textId="6824F051" w:rsidR="009B0C59" w:rsidRDefault="009B0C59" w:rsidP="002346DF">
      <w:pPr>
        <w:pStyle w:val="FiBLmrbulletpoint"/>
        <w:rPr>
          <w:rStyle w:val="Hyperlink"/>
          <w:color w:val="auto"/>
          <w:u w:val="none"/>
        </w:rPr>
      </w:pPr>
      <w:r w:rsidRPr="002346DF">
        <w:t xml:space="preserve">Download </w:t>
      </w:r>
      <w:r w:rsidR="0060369E" w:rsidRPr="002346DF">
        <w:t>“</w:t>
      </w:r>
      <w:r w:rsidRPr="002346DF">
        <w:t xml:space="preserve">The World of Organic Agriculture </w:t>
      </w:r>
      <w:r w:rsidR="00101CDB" w:rsidRPr="002346DF">
        <w:t>202</w:t>
      </w:r>
      <w:r w:rsidR="00E7130C">
        <w:t>1</w:t>
      </w:r>
      <w:r w:rsidR="0060369E" w:rsidRPr="002346DF">
        <w:t>”</w:t>
      </w:r>
      <w:r w:rsidR="008E63F1" w:rsidRPr="002346DF">
        <w:br/>
      </w:r>
      <w:hyperlink r:id="rId17" w:history="1">
        <w:r w:rsidR="00515CC3" w:rsidRPr="00057BE8">
          <w:rPr>
            <w:rStyle w:val="Hyperlink"/>
            <w:lang w:val="en-US"/>
          </w:rPr>
          <w:t>www.organic-world.net/yearbook/yearbook-2021.html</w:t>
        </w:r>
      </w:hyperlink>
    </w:p>
    <w:p w14:paraId="5F715EE6" w14:textId="6C2447B6" w:rsidR="009B0C59" w:rsidRDefault="009B0C59" w:rsidP="002346DF">
      <w:pPr>
        <w:pStyle w:val="FiBLmrbulletpoint"/>
      </w:pPr>
      <w:r w:rsidRPr="002346DF">
        <w:t>Infog</w:t>
      </w:r>
      <w:r w:rsidR="008E63F1" w:rsidRPr="002346DF">
        <w:t>raphics</w:t>
      </w:r>
      <w:r w:rsidR="008E63F1" w:rsidRPr="002346DF">
        <w:br/>
      </w:r>
      <w:hyperlink r:id="rId18" w:history="1">
        <w:r w:rsidR="00515CC3" w:rsidRPr="00057BE8">
          <w:rPr>
            <w:rStyle w:val="Hyperlink"/>
            <w:lang w:val="en-US"/>
          </w:rPr>
          <w:t>www.organic-world.net/yearbook/yearbook-2021/infographics.html</w:t>
        </w:r>
      </w:hyperlink>
    </w:p>
    <w:p w14:paraId="1B529538" w14:textId="1C7B4EBF" w:rsidR="009B0C59" w:rsidRPr="002346DF" w:rsidRDefault="009B0C59" w:rsidP="00584F88">
      <w:pPr>
        <w:pStyle w:val="FiBLmrbulletpoint"/>
      </w:pPr>
      <w:r w:rsidRPr="002346DF">
        <w:t>FiBL statistics on organic agriculture worldwide</w:t>
      </w:r>
      <w:r w:rsidR="008E63F1" w:rsidRPr="002346DF">
        <w:br/>
      </w:r>
      <w:hyperlink r:id="rId19" w:history="1">
        <w:r w:rsidR="00515CC3" w:rsidRPr="00057BE8">
          <w:rPr>
            <w:rStyle w:val="Hyperlink"/>
          </w:rPr>
          <w:t>statistics.fibl.org</w:t>
        </w:r>
      </w:hyperlink>
    </w:p>
    <w:p w14:paraId="4A333BE4" w14:textId="77777777" w:rsidR="0010418E" w:rsidRPr="00F64C94" w:rsidRDefault="0010418E" w:rsidP="0010418E">
      <w:pPr>
        <w:pStyle w:val="FiBLmraddinfo"/>
      </w:pPr>
      <w:r w:rsidRPr="00F64C94">
        <w:lastRenderedPageBreak/>
        <w:t>Links</w:t>
      </w:r>
    </w:p>
    <w:p w14:paraId="10F42947" w14:textId="036F1BEF" w:rsidR="0010418E" w:rsidRPr="002346DF" w:rsidRDefault="00B45D24" w:rsidP="002346DF">
      <w:pPr>
        <w:pStyle w:val="FiBLmrbulletpoint"/>
      </w:pPr>
      <w:r w:rsidRPr="002346DF">
        <w:t>www.</w:t>
      </w:r>
      <w:r w:rsidR="0010418E" w:rsidRPr="002346DF">
        <w:t xml:space="preserve">fibl.org: Website of FiBL, the Research Institute of Organic Agriculture </w:t>
      </w:r>
    </w:p>
    <w:p w14:paraId="01E04005" w14:textId="711AA5EF" w:rsidR="0010418E" w:rsidRPr="002346DF" w:rsidRDefault="00B45D24" w:rsidP="002346DF">
      <w:pPr>
        <w:pStyle w:val="FiBLmrbulletpoint"/>
      </w:pPr>
      <w:r w:rsidRPr="002346DF">
        <w:t>www.</w:t>
      </w:r>
      <w:r w:rsidR="0010418E" w:rsidRPr="002346DF">
        <w:t xml:space="preserve">ami-informiert.de: Website of AMI, the Agricultural Market Information Company </w:t>
      </w:r>
    </w:p>
    <w:p w14:paraId="17077144" w14:textId="4188B560" w:rsidR="00643142" w:rsidRPr="002346DF" w:rsidRDefault="00643142" w:rsidP="00643142">
      <w:pPr>
        <w:pStyle w:val="FiBLmrbulletpoint"/>
      </w:pPr>
      <w:r>
        <w:t xml:space="preserve">www.organicseurope.bio: </w:t>
      </w:r>
      <w:r w:rsidR="003E6FEB">
        <w:t xml:space="preserve">Website </w:t>
      </w:r>
      <w:r>
        <w:t>of the European umbrella organisation for organic food and farming</w:t>
      </w:r>
    </w:p>
    <w:p w14:paraId="359E7E96" w14:textId="24FDB56A" w:rsidR="0010418E" w:rsidRDefault="00B45D24" w:rsidP="002346DF">
      <w:pPr>
        <w:pStyle w:val="FiBLmrbulletpoint"/>
      </w:pPr>
      <w:r w:rsidRPr="002346DF">
        <w:t>www.</w:t>
      </w:r>
      <w:r w:rsidR="0010418E" w:rsidRPr="002346DF">
        <w:t>biofach.de: Website of BIOFACH</w:t>
      </w:r>
    </w:p>
    <w:p w14:paraId="29BCFCA1" w14:textId="6DD134AE" w:rsidR="008E63F1" w:rsidRPr="00F64C94" w:rsidRDefault="008E63F1" w:rsidP="008E63F1">
      <w:pPr>
        <w:pStyle w:val="FiBLmraddinfo"/>
      </w:pPr>
      <w:r w:rsidRPr="00F64C94">
        <w:t xml:space="preserve">Programme of the session “The European market for organic food” at </w:t>
      </w:r>
      <w:r w:rsidR="003E6FEB">
        <w:t xml:space="preserve">the </w:t>
      </w:r>
      <w:r w:rsidRPr="00F64C94">
        <w:t>BIOFACH</w:t>
      </w:r>
      <w:r w:rsidR="00502D3A">
        <w:t xml:space="preserve"> </w:t>
      </w:r>
      <w:proofErr w:type="spellStart"/>
      <w:r w:rsidR="00502D3A">
        <w:t>eSPECIAL</w:t>
      </w:r>
      <w:proofErr w:type="spellEnd"/>
      <w:r w:rsidRPr="00F64C94">
        <w:t xml:space="preserve"> 202</w:t>
      </w:r>
      <w:r w:rsidR="00502D3A">
        <w:t>1</w:t>
      </w:r>
    </w:p>
    <w:p w14:paraId="7EEC198D" w14:textId="344858E6" w:rsidR="00646E4A" w:rsidRPr="00FB1EAC" w:rsidRDefault="00646E4A" w:rsidP="00FB1EAC">
      <w:pPr>
        <w:pStyle w:val="FiBLmrstandard"/>
      </w:pPr>
      <w:r w:rsidRPr="00FB1EAC">
        <w:t xml:space="preserve">Wednesday, </w:t>
      </w:r>
      <w:r w:rsidR="003E6FEB">
        <w:t xml:space="preserve">17 </w:t>
      </w:r>
      <w:r w:rsidRPr="00FB1EAC">
        <w:t xml:space="preserve">February </w:t>
      </w:r>
      <w:r w:rsidR="0008266D" w:rsidRPr="00FB1EAC">
        <w:t>202</w:t>
      </w:r>
      <w:r w:rsidR="00502D3A">
        <w:t>1</w:t>
      </w:r>
      <w:r w:rsidRPr="00FB1EAC">
        <w:t xml:space="preserve">, </w:t>
      </w:r>
      <w:r w:rsidR="00502D3A">
        <w:t>5</w:t>
      </w:r>
      <w:r w:rsidRPr="00FB1EAC">
        <w:t xml:space="preserve"> to </w:t>
      </w:r>
      <w:r w:rsidR="00502D3A">
        <w:t>6</w:t>
      </w:r>
      <w:r w:rsidRPr="00FB1EAC">
        <w:t xml:space="preserve"> pm, </w:t>
      </w:r>
      <w:r w:rsidR="00502D3A">
        <w:t>Livestream 5</w:t>
      </w:r>
    </w:p>
    <w:p w14:paraId="429D43D6" w14:textId="30D44744" w:rsidR="00646E4A" w:rsidRPr="0098492F" w:rsidRDefault="009B0C59" w:rsidP="00FB1EAC">
      <w:pPr>
        <w:pStyle w:val="FiBLmrbulletpoint"/>
        <w:rPr>
          <w:lang w:val="de-CH"/>
        </w:rPr>
      </w:pPr>
      <w:r w:rsidRPr="0098492F">
        <w:rPr>
          <w:lang w:val="de-CH"/>
        </w:rPr>
        <w:t xml:space="preserve">Dr. Susanne </w:t>
      </w:r>
      <w:proofErr w:type="spellStart"/>
      <w:r w:rsidRPr="0098492F">
        <w:rPr>
          <w:lang w:val="de-CH"/>
        </w:rPr>
        <w:t>Padel</w:t>
      </w:r>
      <w:proofErr w:type="spellEnd"/>
      <w:r w:rsidRPr="0098492F">
        <w:rPr>
          <w:lang w:val="de-CH"/>
        </w:rPr>
        <w:t xml:space="preserve">, </w:t>
      </w:r>
      <w:r w:rsidR="00502D3A" w:rsidRPr="0098492F">
        <w:rPr>
          <w:lang w:val="de-CH"/>
        </w:rPr>
        <w:t>Thünen-Ins</w:t>
      </w:r>
      <w:r w:rsidR="00502D3A">
        <w:rPr>
          <w:lang w:val="de-CH"/>
        </w:rPr>
        <w:t>titut</w:t>
      </w:r>
      <w:r w:rsidRPr="0098492F">
        <w:rPr>
          <w:lang w:val="de-CH"/>
        </w:rPr>
        <w:t xml:space="preserve">, </w:t>
      </w:r>
      <w:r w:rsidR="00502D3A">
        <w:rPr>
          <w:lang w:val="de-CH"/>
        </w:rPr>
        <w:t>Germany</w:t>
      </w:r>
      <w:r w:rsidR="008503A6" w:rsidRPr="0098492F">
        <w:rPr>
          <w:lang w:val="de-CH"/>
        </w:rPr>
        <w:t>, Moderator</w:t>
      </w:r>
    </w:p>
    <w:p w14:paraId="3FC03FA1" w14:textId="1E961F2F" w:rsidR="008503A6" w:rsidRDefault="008503A6" w:rsidP="00FB1EAC">
      <w:pPr>
        <w:pStyle w:val="FiBLmrbulletpoint"/>
      </w:pPr>
      <w:proofErr w:type="spellStart"/>
      <w:r w:rsidRPr="00FB1EAC">
        <w:t>Dr.</w:t>
      </w:r>
      <w:proofErr w:type="spellEnd"/>
      <w:r w:rsidRPr="00FB1EAC">
        <w:t xml:space="preserve"> Helga Willer, Research Institute of Organic Agriculture FiBL, Switzerland</w:t>
      </w:r>
    </w:p>
    <w:p w14:paraId="67003AC6" w14:textId="7BE297D0" w:rsidR="00502D3A" w:rsidRPr="00502D3A" w:rsidRDefault="00502D3A" w:rsidP="0098492F">
      <w:pPr>
        <w:pStyle w:val="FiBLmrbulletpoint"/>
      </w:pPr>
      <w:r w:rsidRPr="00502D3A">
        <w:t xml:space="preserve">Dorian </w:t>
      </w:r>
      <w:proofErr w:type="spellStart"/>
      <w:r w:rsidR="0095158F">
        <w:t>Flé</w:t>
      </w:r>
      <w:r w:rsidRPr="00502D3A">
        <w:t>chet</w:t>
      </w:r>
      <w:proofErr w:type="spellEnd"/>
      <w:r w:rsidRPr="00502D3A">
        <w:t xml:space="preserve">, </w:t>
      </w:r>
      <w:proofErr w:type="spellStart"/>
      <w:r w:rsidRPr="00502D3A">
        <w:t>Agence</w:t>
      </w:r>
      <w:proofErr w:type="spellEnd"/>
      <w:r w:rsidRPr="00502D3A">
        <w:t xml:space="preserve"> Bio, Fran</w:t>
      </w:r>
      <w:r>
        <w:t>ce</w:t>
      </w:r>
    </w:p>
    <w:p w14:paraId="0CFA80A8" w14:textId="5CFB4895" w:rsidR="00502D3A" w:rsidRPr="00502D3A" w:rsidRDefault="00502D3A" w:rsidP="00502D3A">
      <w:pPr>
        <w:pStyle w:val="FiBLmrbulletpoint"/>
      </w:pPr>
      <w:r w:rsidRPr="00502D3A">
        <w:t xml:space="preserve">Lee </w:t>
      </w:r>
      <w:proofErr w:type="spellStart"/>
      <w:r w:rsidRPr="00502D3A">
        <w:t>Holdstock</w:t>
      </w:r>
      <w:proofErr w:type="spellEnd"/>
      <w:r w:rsidRPr="00502D3A">
        <w:t>, Soil Association Ltd., UK</w:t>
      </w:r>
    </w:p>
    <w:p w14:paraId="6FD40B4F" w14:textId="77777777" w:rsidR="008503A6" w:rsidRPr="0090025E" w:rsidRDefault="008503A6" w:rsidP="00FB1EAC">
      <w:pPr>
        <w:pStyle w:val="FiBLmrbulletpoint"/>
        <w:rPr>
          <w:lang w:val="de-CH"/>
        </w:rPr>
      </w:pPr>
      <w:r w:rsidRPr="0090025E">
        <w:rPr>
          <w:lang w:val="de-CH"/>
        </w:rPr>
        <w:t xml:space="preserve">Diana </w:t>
      </w:r>
      <w:proofErr w:type="spellStart"/>
      <w:r w:rsidRPr="0090025E">
        <w:rPr>
          <w:lang w:val="de-CH"/>
        </w:rPr>
        <w:t>Schaack</w:t>
      </w:r>
      <w:proofErr w:type="spellEnd"/>
      <w:r w:rsidRPr="0090025E">
        <w:rPr>
          <w:lang w:val="de-CH"/>
        </w:rPr>
        <w:t>, Agrarmarkt Informations-Gesellschaft mbH (AMI), Germany</w:t>
      </w:r>
    </w:p>
    <w:p w14:paraId="54B7DAE8" w14:textId="0E994D8A" w:rsidR="00646E4A" w:rsidRPr="00BE3392" w:rsidRDefault="0008266D" w:rsidP="00FB1EAC">
      <w:pPr>
        <w:pStyle w:val="FiBLmrbulletpoint"/>
        <w:rPr>
          <w:lang w:val="it-IT"/>
        </w:rPr>
      </w:pPr>
      <w:r w:rsidRPr="00BE3392">
        <w:rPr>
          <w:lang w:val="it-IT"/>
        </w:rPr>
        <w:t xml:space="preserve">Prof. </w:t>
      </w:r>
      <w:r w:rsidR="005418B7" w:rsidRPr="00BE3392">
        <w:rPr>
          <w:lang w:val="it-IT"/>
        </w:rPr>
        <w:t xml:space="preserve">Dr. </w:t>
      </w:r>
      <w:r w:rsidRPr="00BE3392">
        <w:rPr>
          <w:lang w:val="it-IT"/>
        </w:rPr>
        <w:t xml:space="preserve">Raffaele Zanoli, </w:t>
      </w:r>
      <w:r w:rsidR="009B0C59" w:rsidRPr="00BE3392">
        <w:rPr>
          <w:lang w:val="it-IT"/>
        </w:rPr>
        <w:t xml:space="preserve">Università Politecnica delle Marche, </w:t>
      </w:r>
      <w:proofErr w:type="spellStart"/>
      <w:r w:rsidR="009B0C59" w:rsidRPr="00BE3392">
        <w:rPr>
          <w:lang w:val="it-IT"/>
        </w:rPr>
        <w:t>Italy</w:t>
      </w:r>
      <w:proofErr w:type="spellEnd"/>
    </w:p>
    <w:p w14:paraId="2C55CA5A" w14:textId="5DFD7972" w:rsidR="00646E4A" w:rsidRDefault="00646E4A" w:rsidP="00FB1EAC">
      <w:pPr>
        <w:pStyle w:val="FiBLmrstandard"/>
      </w:pPr>
      <w:r w:rsidRPr="00FB1EAC">
        <w:t>More information at</w:t>
      </w:r>
      <w:r w:rsidR="003E6FEB">
        <w:t xml:space="preserve"> </w:t>
      </w:r>
      <w:hyperlink r:id="rId20" w:history="1">
        <w:r w:rsidR="003E6FEB" w:rsidRPr="009D06A1">
          <w:rPr>
            <w:rStyle w:val="Hyperlink"/>
          </w:rPr>
          <w:t>https://biofach.fibl.org/en/biofach-all/biofach-2021.html</w:t>
        </w:r>
      </w:hyperlink>
      <w:r w:rsidR="0090025E">
        <w:t>.</w:t>
      </w:r>
    </w:p>
    <w:p w14:paraId="7240B0E4" w14:textId="77777777" w:rsidR="00F678FA" w:rsidRPr="008E63F1" w:rsidRDefault="00F678FA" w:rsidP="00F678FA">
      <w:pPr>
        <w:pStyle w:val="FiBLmraddinfo"/>
      </w:pPr>
      <w:r w:rsidRPr="008E63F1">
        <w:t>This media release online</w:t>
      </w:r>
    </w:p>
    <w:p w14:paraId="36CEFEA2" w14:textId="781D01D3" w:rsidR="00F678FA" w:rsidRDefault="00F678FA" w:rsidP="002A43EB">
      <w:pPr>
        <w:pStyle w:val="FiBLmrstandard"/>
      </w:pPr>
      <w:r w:rsidRPr="002A43EB">
        <w:t xml:space="preserve">This media release and pictures can be accessed online at </w:t>
      </w:r>
      <w:hyperlink r:id="rId21" w:history="1">
        <w:r w:rsidR="002A43EB" w:rsidRPr="00784345">
          <w:rPr>
            <w:rStyle w:val="Hyperlink"/>
          </w:rPr>
          <w:t>https://www.fibl.org/en/info-centre/media.html</w:t>
        </w:r>
      </w:hyperlink>
      <w:r w:rsidR="002A43EB">
        <w:t>.</w:t>
      </w:r>
    </w:p>
    <w:p w14:paraId="3E0B6498" w14:textId="77777777" w:rsidR="002C0814" w:rsidRPr="00F64C94" w:rsidRDefault="006569B3" w:rsidP="0044286A">
      <w:pPr>
        <w:pStyle w:val="FiBLmrannotationtitle"/>
      </w:pPr>
      <w:r w:rsidRPr="00F64C94">
        <w:t>About</w:t>
      </w:r>
      <w:r w:rsidR="002C0814" w:rsidRPr="00F64C94">
        <w:t xml:space="preserve"> FiBL</w:t>
      </w:r>
    </w:p>
    <w:p w14:paraId="561EE998" w14:textId="202D5F1B" w:rsidR="002D757B" w:rsidRPr="00F64C94" w:rsidRDefault="00455853" w:rsidP="00F04498">
      <w:pPr>
        <w:pStyle w:val="FiBLmrannotation"/>
      </w:pPr>
      <w:r w:rsidRPr="00F64C94">
        <w:t xml:space="preserve">The Research Institute of Organic Agriculture FiBL is one of the world’s leading institutes in the field of organic agriculture. </w:t>
      </w:r>
      <w:proofErr w:type="spellStart"/>
      <w:r w:rsidRPr="00F64C94">
        <w:t>FiBL’s</w:t>
      </w:r>
      <w:proofErr w:type="spellEnd"/>
      <w:r w:rsidRPr="00F64C94">
        <w:t xml:space="preserve"> strengths lie in its interdisciplinary research, innovations developed jointly with farmers and the food industry, and rapid knowledge transfer. FiBL employs some </w:t>
      </w:r>
      <w:r w:rsidR="007B707B" w:rsidRPr="00F64C94">
        <w:t xml:space="preserve">300 </w:t>
      </w:r>
      <w:r w:rsidRPr="00F64C94">
        <w:t>staff at its various locations.</w:t>
      </w:r>
    </w:p>
    <w:p w14:paraId="7AF445E8" w14:textId="77777777" w:rsidR="00F678FA" w:rsidRPr="00F64C94" w:rsidRDefault="00F678FA" w:rsidP="00F678FA">
      <w:pPr>
        <w:pStyle w:val="FiBLmrannotationbulletpoint"/>
      </w:pPr>
      <w:r w:rsidRPr="00F64C94">
        <w:t xml:space="preserve">Homepage: </w:t>
      </w:r>
      <w:hyperlink r:id="rId22" w:history="1">
        <w:r w:rsidR="00C3309F" w:rsidRPr="00F64C94">
          <w:rPr>
            <w:rStyle w:val="Hyperlink"/>
          </w:rPr>
          <w:t>www.fibl.org</w:t>
        </w:r>
      </w:hyperlink>
    </w:p>
    <w:p w14:paraId="082ABF62" w14:textId="77777777" w:rsidR="00F678FA" w:rsidRPr="002346DF" w:rsidRDefault="00F678FA" w:rsidP="00F678FA">
      <w:pPr>
        <w:pStyle w:val="FiBLmrannotationbulletpoint"/>
        <w:rPr>
          <w:rStyle w:val="Hyperlink"/>
          <w:color w:val="auto"/>
          <w:u w:val="none"/>
          <w:lang w:val="es-ES"/>
        </w:rPr>
      </w:pPr>
      <w:r w:rsidRPr="002346DF">
        <w:rPr>
          <w:lang w:val="es-ES"/>
        </w:rPr>
        <w:t xml:space="preserve">Video: </w:t>
      </w:r>
      <w:hyperlink r:id="rId23" w:history="1">
        <w:r w:rsidR="00C3309F" w:rsidRPr="002346DF">
          <w:rPr>
            <w:rStyle w:val="Hyperlink"/>
            <w:lang w:val="es-ES"/>
          </w:rPr>
          <w:t>www.youtube.com/watch?v=U84NrJlORFc</w:t>
        </w:r>
      </w:hyperlink>
    </w:p>
    <w:p w14:paraId="6AFCCDDE" w14:textId="77777777" w:rsidR="001355DA" w:rsidRPr="002346DF" w:rsidRDefault="001355DA">
      <w:pPr>
        <w:rPr>
          <w:rStyle w:val="Hyperlink"/>
          <w:rFonts w:ascii="Palatino Linotype" w:hAnsi="Palatino Linotype"/>
          <w:sz w:val="20"/>
          <w:lang w:val="es-ES"/>
        </w:rPr>
      </w:pPr>
      <w:r w:rsidRPr="002346DF">
        <w:rPr>
          <w:rStyle w:val="Hyperlink"/>
          <w:rFonts w:ascii="Palatino Linotype" w:hAnsi="Palatino Linotype"/>
          <w:sz w:val="20"/>
          <w:lang w:val="es-ES"/>
        </w:rPr>
        <w:br w:type="page"/>
      </w:r>
    </w:p>
    <w:p w14:paraId="71F6A3C9" w14:textId="7275F96C" w:rsidR="00607310" w:rsidRPr="00C4769C" w:rsidRDefault="0029632A" w:rsidP="00C4769C">
      <w:pPr>
        <w:pStyle w:val="berschrift1"/>
      </w:pPr>
      <w:bookmarkStart w:id="5" w:name="_Toc504636868"/>
      <w:bookmarkStart w:id="6" w:name="_Toc505163380"/>
      <w:bookmarkStart w:id="7" w:name="_Ref30843172"/>
      <w:bookmarkStart w:id="8" w:name="_Toc30862547"/>
      <w:r w:rsidRPr="00F64C94">
        <w:lastRenderedPageBreak/>
        <w:t>Europe and the European Union: Key indicators 201</w:t>
      </w:r>
      <w:bookmarkEnd w:id="5"/>
      <w:bookmarkEnd w:id="6"/>
      <w:r w:rsidR="00502D3A">
        <w:t>9</w:t>
      </w:r>
      <w:bookmarkEnd w:id="7"/>
      <w:bookmarkEnd w:id="8"/>
    </w:p>
    <w:tbl>
      <w:tblPr>
        <w:tblStyle w:val="woatable"/>
        <w:tblW w:w="5000" w:type="pct"/>
        <w:tblLook w:val="0420" w:firstRow="1" w:lastRow="0" w:firstColumn="0" w:lastColumn="0" w:noHBand="0" w:noVBand="1"/>
      </w:tblPr>
      <w:tblGrid>
        <w:gridCol w:w="1625"/>
        <w:gridCol w:w="2436"/>
        <w:gridCol w:w="2436"/>
        <w:gridCol w:w="2007"/>
      </w:tblGrid>
      <w:tr w:rsidR="00502D3A" w:rsidRPr="003E6FEB" w14:paraId="012DA02F" w14:textId="77777777" w:rsidTr="0098492F">
        <w:trPr>
          <w:cnfStyle w:val="100000000000" w:firstRow="1" w:lastRow="0" w:firstColumn="0" w:lastColumn="0" w:oddVBand="0" w:evenVBand="0" w:oddHBand="0" w:evenHBand="0" w:firstRowFirstColumn="0" w:firstRowLastColumn="0" w:lastRowFirstColumn="0" w:lastRowLastColumn="0"/>
          <w:trHeight w:val="206"/>
        </w:trPr>
        <w:tc>
          <w:tcPr>
            <w:tcW w:w="955" w:type="pct"/>
          </w:tcPr>
          <w:p w14:paraId="4C96E6C4" w14:textId="77777777" w:rsidR="00502D3A" w:rsidRPr="0095158F" w:rsidRDefault="00502D3A" w:rsidP="0026372E">
            <w:pPr>
              <w:pStyle w:val="woa-table-text"/>
              <w:spacing w:before="48" w:after="48"/>
              <w:rPr>
                <w:b/>
                <w:bCs w:val="0"/>
                <w:color w:val="auto"/>
                <w:sz w:val="16"/>
                <w:szCs w:val="14"/>
                <w:lang w:val="en-GB"/>
              </w:rPr>
            </w:pPr>
            <w:r w:rsidRPr="0095158F">
              <w:rPr>
                <w:b/>
                <w:color w:val="auto"/>
                <w:sz w:val="16"/>
                <w:szCs w:val="14"/>
                <w:lang w:val="en-GB"/>
              </w:rPr>
              <w:t>Indicator</w:t>
            </w:r>
          </w:p>
        </w:tc>
        <w:tc>
          <w:tcPr>
            <w:tcW w:w="1432" w:type="pct"/>
          </w:tcPr>
          <w:p w14:paraId="541FD654" w14:textId="77777777" w:rsidR="00502D3A" w:rsidRPr="0095158F" w:rsidRDefault="00502D3A" w:rsidP="0026372E">
            <w:pPr>
              <w:pStyle w:val="woa-table-text"/>
              <w:spacing w:before="48" w:after="48"/>
              <w:rPr>
                <w:b/>
                <w:bCs w:val="0"/>
                <w:color w:val="auto"/>
                <w:sz w:val="16"/>
                <w:szCs w:val="14"/>
                <w:lang w:val="en-GB"/>
              </w:rPr>
            </w:pPr>
            <w:r w:rsidRPr="0095158F">
              <w:rPr>
                <w:b/>
                <w:color w:val="auto"/>
                <w:sz w:val="16"/>
                <w:szCs w:val="14"/>
                <w:lang w:val="en-GB"/>
              </w:rPr>
              <w:t>Europe</w:t>
            </w:r>
          </w:p>
        </w:tc>
        <w:tc>
          <w:tcPr>
            <w:tcW w:w="1432" w:type="pct"/>
          </w:tcPr>
          <w:p w14:paraId="646E2849" w14:textId="77777777" w:rsidR="00502D3A" w:rsidRPr="0095158F" w:rsidRDefault="00502D3A" w:rsidP="0026372E">
            <w:pPr>
              <w:pStyle w:val="woa-table-text"/>
              <w:spacing w:before="48" w:after="48"/>
              <w:rPr>
                <w:b/>
                <w:bCs w:val="0"/>
                <w:color w:val="auto"/>
                <w:sz w:val="16"/>
                <w:szCs w:val="14"/>
                <w:lang w:val="en-GB"/>
              </w:rPr>
            </w:pPr>
            <w:r w:rsidRPr="0095158F">
              <w:rPr>
                <w:b/>
                <w:color w:val="auto"/>
                <w:sz w:val="16"/>
                <w:szCs w:val="14"/>
                <w:lang w:val="en-GB"/>
              </w:rPr>
              <w:t>European Union</w:t>
            </w:r>
          </w:p>
        </w:tc>
        <w:tc>
          <w:tcPr>
            <w:tcW w:w="1180" w:type="pct"/>
          </w:tcPr>
          <w:p w14:paraId="710C5534" w14:textId="77777777" w:rsidR="00502D3A" w:rsidRPr="0095158F" w:rsidRDefault="00502D3A" w:rsidP="0026372E">
            <w:pPr>
              <w:pStyle w:val="woa-table-text"/>
              <w:spacing w:before="48" w:after="48"/>
              <w:rPr>
                <w:b/>
                <w:bCs w:val="0"/>
                <w:color w:val="auto"/>
                <w:sz w:val="16"/>
                <w:szCs w:val="14"/>
                <w:lang w:val="en-GB"/>
              </w:rPr>
            </w:pPr>
            <w:r w:rsidRPr="0095158F">
              <w:rPr>
                <w:b/>
                <w:color w:val="auto"/>
                <w:sz w:val="16"/>
                <w:szCs w:val="14"/>
                <w:lang w:val="en-GB"/>
              </w:rPr>
              <w:t>Top 3 countries Europe</w:t>
            </w:r>
          </w:p>
        </w:tc>
      </w:tr>
      <w:tr w:rsidR="00502D3A" w:rsidRPr="002E617C" w14:paraId="7FE7A271" w14:textId="77777777" w:rsidTr="0098492F">
        <w:trPr>
          <w:cnfStyle w:val="000000100000" w:firstRow="0" w:lastRow="0" w:firstColumn="0" w:lastColumn="0" w:oddVBand="0" w:evenVBand="0" w:oddHBand="1" w:evenHBand="0" w:firstRowFirstColumn="0" w:firstRowLastColumn="0" w:lastRowFirstColumn="0" w:lastRowLastColumn="0"/>
          <w:trHeight w:val="409"/>
        </w:trPr>
        <w:tc>
          <w:tcPr>
            <w:tcW w:w="955" w:type="pct"/>
            <w:vAlign w:val="center"/>
          </w:tcPr>
          <w:p w14:paraId="4E66DAF4" w14:textId="77777777" w:rsidR="00502D3A" w:rsidRPr="0095158F" w:rsidRDefault="00502D3A" w:rsidP="0026372E">
            <w:pPr>
              <w:pStyle w:val="woa-table-text"/>
              <w:rPr>
                <w:b/>
                <w:color w:val="auto"/>
                <w:sz w:val="16"/>
                <w:szCs w:val="14"/>
                <w:lang w:val="en-GB"/>
              </w:rPr>
            </w:pPr>
            <w:r w:rsidRPr="0095158F">
              <w:rPr>
                <w:b/>
                <w:color w:val="auto"/>
                <w:sz w:val="16"/>
                <w:szCs w:val="14"/>
                <w:lang w:val="en-GB"/>
              </w:rPr>
              <w:t xml:space="preserve">Organic farmland </w:t>
            </w:r>
          </w:p>
        </w:tc>
        <w:tc>
          <w:tcPr>
            <w:tcW w:w="1432" w:type="pct"/>
            <w:vAlign w:val="center"/>
          </w:tcPr>
          <w:p w14:paraId="5AEA9F1A" w14:textId="77777777" w:rsidR="00502D3A" w:rsidRPr="0095158F" w:rsidRDefault="00502D3A" w:rsidP="0026372E">
            <w:pPr>
              <w:pStyle w:val="woa-table-text"/>
              <w:rPr>
                <w:color w:val="auto"/>
                <w:sz w:val="16"/>
                <w:szCs w:val="14"/>
                <w:lang w:val="en-GB"/>
              </w:rPr>
            </w:pPr>
            <w:r w:rsidRPr="0095158F">
              <w:rPr>
                <w:color w:val="auto"/>
                <w:sz w:val="16"/>
                <w:szCs w:val="14"/>
                <w:lang w:val="en-GB"/>
              </w:rPr>
              <w:t>16.5 million ha</w:t>
            </w:r>
          </w:p>
        </w:tc>
        <w:tc>
          <w:tcPr>
            <w:tcW w:w="1432" w:type="pct"/>
            <w:vAlign w:val="center"/>
          </w:tcPr>
          <w:p w14:paraId="75E6934A" w14:textId="77777777" w:rsidR="00502D3A" w:rsidRPr="0095158F" w:rsidRDefault="00502D3A" w:rsidP="0026372E">
            <w:pPr>
              <w:pStyle w:val="woa-table-text"/>
              <w:rPr>
                <w:color w:val="auto"/>
                <w:sz w:val="16"/>
                <w:szCs w:val="14"/>
                <w:lang w:val="en-GB"/>
              </w:rPr>
            </w:pPr>
            <w:r w:rsidRPr="0095158F">
              <w:rPr>
                <w:color w:val="auto"/>
                <w:sz w:val="16"/>
                <w:szCs w:val="14"/>
                <w:lang w:val="en-GB"/>
              </w:rPr>
              <w:t>14.6 million ha</w:t>
            </w:r>
          </w:p>
        </w:tc>
        <w:tc>
          <w:tcPr>
            <w:tcW w:w="1180" w:type="pct"/>
            <w:vAlign w:val="center"/>
          </w:tcPr>
          <w:p w14:paraId="29AD7ED6" w14:textId="310FD4E2" w:rsidR="00502D3A" w:rsidRPr="00116C30" w:rsidRDefault="008A73BC">
            <w:pPr>
              <w:pStyle w:val="woa-table-text"/>
              <w:rPr>
                <w:lang w:val="it-CH"/>
              </w:rPr>
            </w:pPr>
            <w:proofErr w:type="spellStart"/>
            <w:r w:rsidRPr="00116C30">
              <w:rPr>
                <w:sz w:val="16"/>
                <w:lang w:val="it-CH"/>
              </w:rPr>
              <w:t>Spain</w:t>
            </w:r>
            <w:proofErr w:type="spellEnd"/>
            <w:r w:rsidRPr="00116C30">
              <w:rPr>
                <w:sz w:val="16"/>
                <w:lang w:val="it-CH"/>
              </w:rPr>
              <w:t xml:space="preserve"> (2.35</w:t>
            </w:r>
            <w:r w:rsidR="00502D3A" w:rsidRPr="00116C30">
              <w:rPr>
                <w:sz w:val="16"/>
                <w:lang w:val="it-CH"/>
              </w:rPr>
              <w:t xml:space="preserve"> </w:t>
            </w:r>
            <w:proofErr w:type="spellStart"/>
            <w:r w:rsidR="00502D3A" w:rsidRPr="00116C30">
              <w:rPr>
                <w:sz w:val="16"/>
                <w:lang w:val="it-CH"/>
              </w:rPr>
              <w:t>million</w:t>
            </w:r>
            <w:proofErr w:type="spellEnd"/>
            <w:r w:rsidR="00502D3A" w:rsidRPr="00116C30">
              <w:rPr>
                <w:sz w:val="16"/>
                <w:lang w:val="it-CH"/>
              </w:rPr>
              <w:t xml:space="preserve"> ha) </w:t>
            </w:r>
            <w:r w:rsidR="00502D3A" w:rsidRPr="00116C30">
              <w:rPr>
                <w:sz w:val="16"/>
                <w:lang w:val="it-CH"/>
              </w:rPr>
              <w:br/>
              <w:t xml:space="preserve">France (2.2 </w:t>
            </w:r>
            <w:proofErr w:type="spellStart"/>
            <w:r w:rsidR="00502D3A" w:rsidRPr="00116C30">
              <w:rPr>
                <w:sz w:val="16"/>
                <w:lang w:val="it-CH"/>
              </w:rPr>
              <w:t>million</w:t>
            </w:r>
            <w:proofErr w:type="spellEnd"/>
            <w:r w:rsidR="00502D3A" w:rsidRPr="00116C30">
              <w:rPr>
                <w:sz w:val="16"/>
                <w:lang w:val="it-CH"/>
              </w:rPr>
              <w:t xml:space="preserve"> ha) </w:t>
            </w:r>
            <w:r w:rsidR="00502D3A" w:rsidRPr="00116C30">
              <w:rPr>
                <w:sz w:val="16"/>
                <w:lang w:val="it-CH"/>
              </w:rPr>
              <w:br/>
            </w:r>
            <w:proofErr w:type="spellStart"/>
            <w:r w:rsidR="00502D3A" w:rsidRPr="00116C30">
              <w:rPr>
                <w:sz w:val="16"/>
                <w:lang w:val="it-CH"/>
              </w:rPr>
              <w:t>Italy</w:t>
            </w:r>
            <w:proofErr w:type="spellEnd"/>
            <w:r w:rsidR="00502D3A" w:rsidRPr="00116C30">
              <w:rPr>
                <w:sz w:val="16"/>
                <w:lang w:val="it-CH"/>
              </w:rPr>
              <w:t xml:space="preserve"> (2.0 </w:t>
            </w:r>
            <w:proofErr w:type="spellStart"/>
            <w:r w:rsidR="00502D3A" w:rsidRPr="00116C30">
              <w:rPr>
                <w:sz w:val="16"/>
                <w:lang w:val="it-CH"/>
              </w:rPr>
              <w:t>million</w:t>
            </w:r>
            <w:proofErr w:type="spellEnd"/>
            <w:r w:rsidR="00502D3A" w:rsidRPr="00116C30">
              <w:rPr>
                <w:sz w:val="16"/>
                <w:lang w:val="it-CH"/>
              </w:rPr>
              <w:t xml:space="preserve"> ha)</w:t>
            </w:r>
          </w:p>
        </w:tc>
      </w:tr>
      <w:tr w:rsidR="00502D3A" w:rsidRPr="003E6FEB" w14:paraId="4D1220E0" w14:textId="77777777" w:rsidTr="0098492F">
        <w:trPr>
          <w:cnfStyle w:val="000000010000" w:firstRow="0" w:lastRow="0" w:firstColumn="0" w:lastColumn="0" w:oddVBand="0" w:evenVBand="0" w:oddHBand="0" w:evenHBand="1" w:firstRowFirstColumn="0" w:firstRowLastColumn="0" w:lastRowFirstColumn="0" w:lastRowLastColumn="0"/>
          <w:trHeight w:val="541"/>
        </w:trPr>
        <w:tc>
          <w:tcPr>
            <w:tcW w:w="955" w:type="pct"/>
            <w:vAlign w:val="center"/>
          </w:tcPr>
          <w:p w14:paraId="744FCCEC" w14:textId="77777777" w:rsidR="00502D3A" w:rsidRPr="0095158F" w:rsidRDefault="00502D3A" w:rsidP="0026372E">
            <w:pPr>
              <w:pStyle w:val="woa-table-text"/>
              <w:rPr>
                <w:b/>
                <w:color w:val="auto"/>
                <w:sz w:val="16"/>
                <w:szCs w:val="14"/>
                <w:lang w:val="en-GB"/>
              </w:rPr>
            </w:pPr>
            <w:r w:rsidRPr="0095158F">
              <w:rPr>
                <w:b/>
                <w:color w:val="auto"/>
                <w:sz w:val="16"/>
                <w:szCs w:val="14"/>
                <w:lang w:val="en-GB"/>
              </w:rPr>
              <w:t xml:space="preserve">Organic share </w:t>
            </w:r>
            <w:r w:rsidRPr="0095158F">
              <w:rPr>
                <w:b/>
                <w:color w:val="auto"/>
                <w:sz w:val="16"/>
                <w:szCs w:val="14"/>
                <w:lang w:val="en-GB"/>
              </w:rPr>
              <w:br/>
              <w:t>of total farmland</w:t>
            </w:r>
          </w:p>
        </w:tc>
        <w:tc>
          <w:tcPr>
            <w:tcW w:w="1432" w:type="pct"/>
            <w:vAlign w:val="center"/>
          </w:tcPr>
          <w:p w14:paraId="34756DF3" w14:textId="77777777" w:rsidR="00502D3A" w:rsidRPr="0095158F" w:rsidRDefault="00502D3A" w:rsidP="0026372E">
            <w:pPr>
              <w:pStyle w:val="woa-table-text"/>
              <w:rPr>
                <w:color w:val="auto"/>
                <w:sz w:val="16"/>
                <w:szCs w:val="14"/>
                <w:lang w:val="en-GB"/>
              </w:rPr>
            </w:pPr>
            <w:r w:rsidRPr="0095158F">
              <w:rPr>
                <w:color w:val="auto"/>
                <w:sz w:val="16"/>
                <w:szCs w:val="14"/>
                <w:lang w:val="en-GB"/>
              </w:rPr>
              <w:t>3.3 %</w:t>
            </w:r>
          </w:p>
        </w:tc>
        <w:tc>
          <w:tcPr>
            <w:tcW w:w="1432" w:type="pct"/>
            <w:vAlign w:val="center"/>
          </w:tcPr>
          <w:p w14:paraId="1807D2A1" w14:textId="77777777" w:rsidR="00502D3A" w:rsidRPr="0095158F" w:rsidRDefault="00502D3A" w:rsidP="0026372E">
            <w:pPr>
              <w:pStyle w:val="woa-table-text"/>
              <w:rPr>
                <w:color w:val="auto"/>
                <w:sz w:val="16"/>
                <w:szCs w:val="14"/>
                <w:lang w:val="en-GB"/>
              </w:rPr>
            </w:pPr>
            <w:r w:rsidRPr="0095158F">
              <w:rPr>
                <w:color w:val="auto"/>
                <w:sz w:val="16"/>
                <w:szCs w:val="14"/>
                <w:lang w:val="en-GB"/>
              </w:rPr>
              <w:t>8.1 %</w:t>
            </w:r>
          </w:p>
        </w:tc>
        <w:tc>
          <w:tcPr>
            <w:tcW w:w="1180" w:type="pct"/>
            <w:vAlign w:val="center"/>
          </w:tcPr>
          <w:p w14:paraId="7F282BAC" w14:textId="77777777" w:rsidR="00502D3A" w:rsidRPr="0095158F" w:rsidRDefault="00502D3A" w:rsidP="0026372E">
            <w:pPr>
              <w:pStyle w:val="woa-table-text"/>
              <w:rPr>
                <w:color w:val="auto"/>
                <w:sz w:val="16"/>
                <w:szCs w:val="14"/>
                <w:lang w:val="en-GB"/>
              </w:rPr>
            </w:pPr>
            <w:r w:rsidRPr="0095158F">
              <w:rPr>
                <w:color w:val="auto"/>
                <w:sz w:val="16"/>
                <w:szCs w:val="14"/>
                <w:lang w:val="en-GB"/>
              </w:rPr>
              <w:t xml:space="preserve">Liechtenstein (41.0%) </w:t>
            </w:r>
            <w:r w:rsidRPr="0095158F">
              <w:rPr>
                <w:color w:val="auto"/>
                <w:sz w:val="16"/>
                <w:szCs w:val="14"/>
                <w:lang w:val="en-GB"/>
              </w:rPr>
              <w:br/>
              <w:t>Austria (26.1%)</w:t>
            </w:r>
          </w:p>
          <w:p w14:paraId="432066BC" w14:textId="77777777" w:rsidR="00502D3A" w:rsidRPr="0095158F" w:rsidRDefault="00502D3A" w:rsidP="0026372E">
            <w:pPr>
              <w:pStyle w:val="woa-table-text"/>
              <w:rPr>
                <w:color w:val="auto"/>
                <w:sz w:val="16"/>
                <w:szCs w:val="14"/>
                <w:lang w:val="en-GB"/>
              </w:rPr>
            </w:pPr>
            <w:r w:rsidRPr="0095158F">
              <w:rPr>
                <w:color w:val="auto"/>
                <w:sz w:val="16"/>
                <w:szCs w:val="14"/>
                <w:lang w:val="en-GB"/>
              </w:rPr>
              <w:t>Estonia (22.3%)</w:t>
            </w:r>
          </w:p>
        </w:tc>
      </w:tr>
      <w:tr w:rsidR="00502D3A" w:rsidRPr="002E617C" w14:paraId="2494BB81" w14:textId="77777777" w:rsidTr="0098492F">
        <w:trPr>
          <w:cnfStyle w:val="000000100000" w:firstRow="0" w:lastRow="0" w:firstColumn="0" w:lastColumn="0" w:oddVBand="0" w:evenVBand="0" w:oddHBand="1" w:evenHBand="0" w:firstRowFirstColumn="0" w:firstRowLastColumn="0" w:lastRowFirstColumn="0" w:lastRowLastColumn="0"/>
          <w:trHeight w:val="206"/>
        </w:trPr>
        <w:tc>
          <w:tcPr>
            <w:tcW w:w="955" w:type="pct"/>
            <w:vAlign w:val="center"/>
          </w:tcPr>
          <w:p w14:paraId="4B83FE67" w14:textId="77777777" w:rsidR="00502D3A" w:rsidRPr="0095158F" w:rsidRDefault="00502D3A" w:rsidP="0026372E">
            <w:pPr>
              <w:pStyle w:val="woa-table-text"/>
              <w:rPr>
                <w:b/>
                <w:color w:val="auto"/>
                <w:sz w:val="16"/>
                <w:szCs w:val="14"/>
                <w:lang w:val="en-GB"/>
              </w:rPr>
            </w:pPr>
            <w:r w:rsidRPr="0095158F">
              <w:rPr>
                <w:b/>
                <w:color w:val="auto"/>
                <w:sz w:val="16"/>
                <w:szCs w:val="14"/>
                <w:lang w:val="en-GB"/>
              </w:rPr>
              <w:t xml:space="preserve">Increase in organic farmland 2018-2019 </w:t>
            </w:r>
          </w:p>
        </w:tc>
        <w:tc>
          <w:tcPr>
            <w:tcW w:w="1432" w:type="pct"/>
            <w:vAlign w:val="center"/>
          </w:tcPr>
          <w:p w14:paraId="21C384C5" w14:textId="60A38BDB" w:rsidR="00502D3A" w:rsidRPr="0095158F" w:rsidRDefault="009F18E2" w:rsidP="0026372E">
            <w:pPr>
              <w:pStyle w:val="woa-table-text"/>
              <w:rPr>
                <w:color w:val="auto"/>
                <w:sz w:val="16"/>
                <w:szCs w:val="14"/>
                <w:lang w:val="en-GB"/>
              </w:rPr>
            </w:pPr>
            <w:r w:rsidRPr="0095158F">
              <w:rPr>
                <w:color w:val="auto"/>
                <w:sz w:val="16"/>
                <w:szCs w:val="14"/>
                <w:lang w:val="en-GB"/>
              </w:rPr>
              <w:t>0.92</w:t>
            </w:r>
            <w:r w:rsidR="00502D3A" w:rsidRPr="0095158F">
              <w:rPr>
                <w:color w:val="auto"/>
                <w:sz w:val="16"/>
                <w:szCs w:val="14"/>
                <w:lang w:val="en-GB"/>
              </w:rPr>
              <w:t xml:space="preserve"> million ha</w:t>
            </w:r>
          </w:p>
        </w:tc>
        <w:tc>
          <w:tcPr>
            <w:tcW w:w="1432" w:type="pct"/>
            <w:vAlign w:val="center"/>
          </w:tcPr>
          <w:p w14:paraId="64C93AC1" w14:textId="1783810E" w:rsidR="00502D3A" w:rsidRPr="0095158F" w:rsidRDefault="009F18E2" w:rsidP="0026372E">
            <w:pPr>
              <w:pStyle w:val="woa-table-text"/>
              <w:rPr>
                <w:color w:val="auto"/>
                <w:sz w:val="16"/>
                <w:szCs w:val="14"/>
                <w:lang w:val="en-GB"/>
              </w:rPr>
            </w:pPr>
            <w:r w:rsidRPr="0095158F">
              <w:rPr>
                <w:color w:val="auto"/>
                <w:sz w:val="16"/>
                <w:szCs w:val="14"/>
                <w:lang w:val="en-GB"/>
              </w:rPr>
              <w:t>0.82</w:t>
            </w:r>
            <w:r w:rsidR="00502D3A" w:rsidRPr="0095158F">
              <w:rPr>
                <w:color w:val="auto"/>
                <w:sz w:val="16"/>
                <w:szCs w:val="14"/>
                <w:lang w:val="en-GB"/>
              </w:rPr>
              <w:t xml:space="preserve"> million ha</w:t>
            </w:r>
          </w:p>
        </w:tc>
        <w:tc>
          <w:tcPr>
            <w:tcW w:w="1180" w:type="pct"/>
            <w:vAlign w:val="center"/>
          </w:tcPr>
          <w:p w14:paraId="16DFD901" w14:textId="77777777" w:rsidR="00502D3A" w:rsidRPr="00116C30" w:rsidRDefault="00502D3A" w:rsidP="0026372E">
            <w:pPr>
              <w:pStyle w:val="woa-table-text"/>
              <w:rPr>
                <w:color w:val="auto"/>
                <w:sz w:val="16"/>
                <w:szCs w:val="14"/>
                <w:lang w:val="it-CH"/>
              </w:rPr>
            </w:pPr>
            <w:r w:rsidRPr="00116C30">
              <w:rPr>
                <w:color w:val="auto"/>
                <w:sz w:val="16"/>
                <w:szCs w:val="14"/>
                <w:lang w:val="it-CH"/>
              </w:rPr>
              <w:t>France (+205'775 ha)</w:t>
            </w:r>
            <w:r w:rsidRPr="00116C30">
              <w:rPr>
                <w:color w:val="auto"/>
                <w:sz w:val="16"/>
                <w:szCs w:val="14"/>
                <w:lang w:val="it-CH"/>
              </w:rPr>
              <w:br/>
              <w:t xml:space="preserve">Ukraine (+158'880 ha) </w:t>
            </w:r>
            <w:r w:rsidRPr="00116C30">
              <w:rPr>
                <w:color w:val="auto"/>
                <w:sz w:val="16"/>
                <w:szCs w:val="14"/>
                <w:lang w:val="it-CH"/>
              </w:rPr>
              <w:br/>
            </w:r>
            <w:proofErr w:type="spellStart"/>
            <w:r w:rsidRPr="00116C30">
              <w:rPr>
                <w:color w:val="auto"/>
                <w:sz w:val="16"/>
                <w:szCs w:val="14"/>
                <w:lang w:val="it-CH"/>
              </w:rPr>
              <w:t>Spain</w:t>
            </w:r>
            <w:proofErr w:type="spellEnd"/>
            <w:r w:rsidRPr="00116C30">
              <w:rPr>
                <w:color w:val="auto"/>
                <w:sz w:val="16"/>
                <w:szCs w:val="14"/>
                <w:lang w:val="it-CH"/>
              </w:rPr>
              <w:t xml:space="preserve"> (+108'441 ha)</w:t>
            </w:r>
          </w:p>
        </w:tc>
      </w:tr>
      <w:tr w:rsidR="00502D3A" w:rsidRPr="002E617C" w14:paraId="3131B4CA" w14:textId="77777777" w:rsidTr="0098492F">
        <w:trPr>
          <w:cnfStyle w:val="000000010000" w:firstRow="0" w:lastRow="0" w:firstColumn="0" w:lastColumn="0" w:oddVBand="0" w:evenVBand="0" w:oddHBand="0" w:evenHBand="1" w:firstRowFirstColumn="0" w:firstRowLastColumn="0" w:lastRowFirstColumn="0" w:lastRowLastColumn="0"/>
          <w:trHeight w:val="596"/>
        </w:trPr>
        <w:tc>
          <w:tcPr>
            <w:tcW w:w="955" w:type="pct"/>
            <w:vAlign w:val="center"/>
          </w:tcPr>
          <w:p w14:paraId="78EA09EB" w14:textId="77777777" w:rsidR="00502D3A" w:rsidRPr="0095158F" w:rsidRDefault="00502D3A" w:rsidP="0026372E">
            <w:pPr>
              <w:pStyle w:val="woa-table-text"/>
              <w:rPr>
                <w:b/>
                <w:color w:val="auto"/>
                <w:sz w:val="16"/>
                <w:szCs w:val="14"/>
                <w:lang w:val="en-GB"/>
              </w:rPr>
            </w:pPr>
            <w:r w:rsidRPr="0095158F">
              <w:rPr>
                <w:b/>
                <w:color w:val="auto"/>
                <w:sz w:val="16"/>
                <w:szCs w:val="14"/>
                <w:lang w:val="en-GB"/>
              </w:rPr>
              <w:t>Relative increase in organic farmland 2018-2019</w:t>
            </w:r>
          </w:p>
        </w:tc>
        <w:tc>
          <w:tcPr>
            <w:tcW w:w="1432" w:type="pct"/>
            <w:vAlign w:val="center"/>
          </w:tcPr>
          <w:p w14:paraId="458B7634" w14:textId="77777777" w:rsidR="00502D3A" w:rsidRPr="0095158F" w:rsidRDefault="00502D3A" w:rsidP="0026372E">
            <w:pPr>
              <w:pStyle w:val="woa-table-text"/>
              <w:rPr>
                <w:color w:val="auto"/>
                <w:sz w:val="16"/>
                <w:szCs w:val="14"/>
                <w:lang w:val="en-GB"/>
              </w:rPr>
            </w:pPr>
            <w:r w:rsidRPr="0095158F">
              <w:rPr>
                <w:color w:val="auto"/>
                <w:sz w:val="16"/>
                <w:szCs w:val="14"/>
                <w:lang w:val="en-GB"/>
              </w:rPr>
              <w:t>5.9%</w:t>
            </w:r>
          </w:p>
        </w:tc>
        <w:tc>
          <w:tcPr>
            <w:tcW w:w="1432" w:type="pct"/>
            <w:vAlign w:val="center"/>
          </w:tcPr>
          <w:p w14:paraId="12429038" w14:textId="77777777" w:rsidR="00502D3A" w:rsidRPr="0095158F" w:rsidRDefault="00502D3A" w:rsidP="0026372E">
            <w:pPr>
              <w:pStyle w:val="woa-table-text"/>
              <w:rPr>
                <w:color w:val="auto"/>
                <w:sz w:val="16"/>
                <w:szCs w:val="14"/>
                <w:lang w:val="en-GB"/>
              </w:rPr>
            </w:pPr>
            <w:r w:rsidRPr="0095158F">
              <w:rPr>
                <w:color w:val="auto"/>
                <w:sz w:val="16"/>
                <w:szCs w:val="14"/>
                <w:lang w:val="en-GB"/>
              </w:rPr>
              <w:t>5.9%</w:t>
            </w:r>
          </w:p>
        </w:tc>
        <w:tc>
          <w:tcPr>
            <w:tcW w:w="1180" w:type="pct"/>
            <w:vAlign w:val="center"/>
          </w:tcPr>
          <w:p w14:paraId="1EA37A54" w14:textId="753A2332" w:rsidR="00502D3A" w:rsidRPr="00116C30" w:rsidRDefault="00901CAD" w:rsidP="0026372E">
            <w:pPr>
              <w:pStyle w:val="woa-table-text"/>
              <w:rPr>
                <w:color w:val="auto"/>
                <w:sz w:val="16"/>
                <w:szCs w:val="14"/>
                <w:lang w:val="it-CH"/>
              </w:rPr>
            </w:pPr>
            <w:r w:rsidRPr="00116C30">
              <w:rPr>
                <w:color w:val="auto"/>
                <w:sz w:val="16"/>
                <w:szCs w:val="14"/>
                <w:lang w:val="it-CH"/>
              </w:rPr>
              <w:t>Kosovo (548%)</w:t>
            </w:r>
          </w:p>
          <w:p w14:paraId="0098B506" w14:textId="4AE7A529" w:rsidR="00502D3A" w:rsidRPr="00116C30" w:rsidRDefault="00901CAD" w:rsidP="0026372E">
            <w:pPr>
              <w:pStyle w:val="woa-table-text"/>
              <w:rPr>
                <w:color w:val="auto"/>
                <w:sz w:val="16"/>
                <w:szCs w:val="14"/>
                <w:lang w:val="it-CH"/>
              </w:rPr>
            </w:pPr>
            <w:r w:rsidRPr="00116C30">
              <w:rPr>
                <w:color w:val="auto"/>
                <w:sz w:val="16"/>
                <w:szCs w:val="14"/>
                <w:lang w:val="it-CH"/>
              </w:rPr>
              <w:t xml:space="preserve">Bosnia and </w:t>
            </w:r>
            <w:proofErr w:type="spellStart"/>
            <w:r w:rsidRPr="00116C30">
              <w:rPr>
                <w:color w:val="auto"/>
                <w:sz w:val="16"/>
                <w:szCs w:val="14"/>
                <w:lang w:val="it-CH"/>
              </w:rPr>
              <w:t>Herzegovina</w:t>
            </w:r>
            <w:proofErr w:type="spellEnd"/>
            <w:r w:rsidRPr="00116C30">
              <w:rPr>
                <w:color w:val="auto"/>
                <w:sz w:val="16"/>
                <w:szCs w:val="14"/>
                <w:lang w:val="it-CH"/>
              </w:rPr>
              <w:t xml:space="preserve"> (+89%)</w:t>
            </w:r>
          </w:p>
          <w:p w14:paraId="7D6545BF" w14:textId="6C47BA76" w:rsidR="00502D3A" w:rsidRPr="00116C30" w:rsidRDefault="00901CAD" w:rsidP="0026372E">
            <w:pPr>
              <w:pStyle w:val="woa-table-text"/>
              <w:rPr>
                <w:color w:val="auto"/>
                <w:sz w:val="16"/>
                <w:szCs w:val="14"/>
                <w:lang w:val="it-CH"/>
              </w:rPr>
            </w:pPr>
            <w:r w:rsidRPr="00116C30">
              <w:rPr>
                <w:color w:val="auto"/>
                <w:sz w:val="16"/>
                <w:szCs w:val="14"/>
                <w:lang w:val="it-CH"/>
              </w:rPr>
              <w:t>Moldova (+62%)</w:t>
            </w:r>
          </w:p>
        </w:tc>
      </w:tr>
      <w:tr w:rsidR="00502D3A" w:rsidRPr="002E617C" w14:paraId="3BB2569A" w14:textId="77777777" w:rsidTr="0098492F">
        <w:trPr>
          <w:cnfStyle w:val="000000100000" w:firstRow="0" w:lastRow="0" w:firstColumn="0" w:lastColumn="0" w:oddVBand="0" w:evenVBand="0" w:oddHBand="1" w:evenHBand="0" w:firstRowFirstColumn="0" w:firstRowLastColumn="0" w:lastRowFirstColumn="0" w:lastRowLastColumn="0"/>
          <w:trHeight w:val="206"/>
        </w:trPr>
        <w:tc>
          <w:tcPr>
            <w:tcW w:w="955" w:type="pct"/>
            <w:vAlign w:val="center"/>
          </w:tcPr>
          <w:p w14:paraId="5AF166E6" w14:textId="77777777" w:rsidR="00502D3A" w:rsidRPr="0095158F" w:rsidRDefault="00502D3A" w:rsidP="0026372E">
            <w:pPr>
              <w:pStyle w:val="woa-table-text"/>
              <w:rPr>
                <w:b/>
                <w:color w:val="auto"/>
                <w:sz w:val="16"/>
                <w:szCs w:val="14"/>
                <w:lang w:val="en-GB"/>
              </w:rPr>
            </w:pPr>
            <w:r w:rsidRPr="0095158F">
              <w:rPr>
                <w:b/>
                <w:color w:val="auto"/>
                <w:sz w:val="16"/>
                <w:szCs w:val="14"/>
                <w:lang w:val="en-GB"/>
              </w:rPr>
              <w:t>Land use</w:t>
            </w:r>
          </w:p>
        </w:tc>
        <w:tc>
          <w:tcPr>
            <w:tcW w:w="1432" w:type="pct"/>
            <w:vAlign w:val="center"/>
          </w:tcPr>
          <w:p w14:paraId="7A056443" w14:textId="77777777" w:rsidR="00502D3A" w:rsidRPr="00116C30" w:rsidRDefault="00502D3A" w:rsidP="0026372E">
            <w:pPr>
              <w:pStyle w:val="woa-table-text"/>
              <w:rPr>
                <w:color w:val="auto"/>
                <w:sz w:val="16"/>
                <w:szCs w:val="14"/>
                <w:lang w:val="fr-CH"/>
              </w:rPr>
            </w:pPr>
            <w:r w:rsidRPr="00116C30">
              <w:rPr>
                <w:color w:val="auto"/>
                <w:sz w:val="16"/>
                <w:szCs w:val="14"/>
                <w:lang w:val="fr-CH"/>
              </w:rPr>
              <w:t xml:space="preserve">Arable </w:t>
            </w:r>
            <w:proofErr w:type="spellStart"/>
            <w:proofErr w:type="gramStart"/>
            <w:r w:rsidRPr="00116C30">
              <w:rPr>
                <w:color w:val="auto"/>
                <w:sz w:val="16"/>
                <w:szCs w:val="14"/>
                <w:lang w:val="fr-CH"/>
              </w:rPr>
              <w:t>crops</w:t>
            </w:r>
            <w:proofErr w:type="spellEnd"/>
            <w:r w:rsidRPr="00116C30">
              <w:rPr>
                <w:color w:val="auto"/>
                <w:sz w:val="16"/>
                <w:szCs w:val="14"/>
                <w:lang w:val="fr-CH"/>
              </w:rPr>
              <w:t>:</w:t>
            </w:r>
            <w:proofErr w:type="gramEnd"/>
            <w:r w:rsidRPr="00116C30">
              <w:rPr>
                <w:color w:val="auto"/>
                <w:sz w:val="16"/>
                <w:szCs w:val="14"/>
                <w:lang w:val="fr-CH"/>
              </w:rPr>
              <w:t xml:space="preserve"> 7.8 million ha</w:t>
            </w:r>
          </w:p>
          <w:p w14:paraId="3BE44EF5" w14:textId="77777777" w:rsidR="00502D3A" w:rsidRPr="00116C30" w:rsidRDefault="00502D3A" w:rsidP="0026372E">
            <w:pPr>
              <w:pStyle w:val="woa-table-text"/>
              <w:rPr>
                <w:color w:val="auto"/>
                <w:sz w:val="16"/>
                <w:szCs w:val="14"/>
                <w:lang w:val="fr-CH"/>
              </w:rPr>
            </w:pPr>
            <w:r w:rsidRPr="00116C30">
              <w:rPr>
                <w:color w:val="auto"/>
                <w:sz w:val="16"/>
                <w:szCs w:val="14"/>
                <w:lang w:val="fr-CH"/>
              </w:rPr>
              <w:t xml:space="preserve">Permanent </w:t>
            </w:r>
            <w:proofErr w:type="spellStart"/>
            <w:proofErr w:type="gramStart"/>
            <w:r w:rsidRPr="00116C30">
              <w:rPr>
                <w:color w:val="auto"/>
                <w:sz w:val="16"/>
                <w:szCs w:val="14"/>
                <w:lang w:val="fr-CH"/>
              </w:rPr>
              <w:t>crops</w:t>
            </w:r>
            <w:proofErr w:type="spellEnd"/>
            <w:r w:rsidRPr="00116C30">
              <w:rPr>
                <w:color w:val="auto"/>
                <w:sz w:val="16"/>
                <w:szCs w:val="14"/>
                <w:lang w:val="fr-CH"/>
              </w:rPr>
              <w:t>:</w:t>
            </w:r>
            <w:proofErr w:type="gramEnd"/>
            <w:r w:rsidRPr="00116C30">
              <w:rPr>
                <w:color w:val="auto"/>
                <w:sz w:val="16"/>
                <w:szCs w:val="14"/>
                <w:lang w:val="fr-CH"/>
              </w:rPr>
              <w:t xml:space="preserve"> 1.8 million ha</w:t>
            </w:r>
          </w:p>
          <w:p w14:paraId="40B5E725" w14:textId="77777777" w:rsidR="00502D3A" w:rsidRPr="00116C30" w:rsidRDefault="00502D3A" w:rsidP="0026372E">
            <w:pPr>
              <w:pStyle w:val="woa-table-text"/>
              <w:rPr>
                <w:color w:val="auto"/>
                <w:sz w:val="16"/>
                <w:szCs w:val="14"/>
                <w:lang w:val="fr-CH"/>
              </w:rPr>
            </w:pPr>
            <w:r w:rsidRPr="00116C30">
              <w:rPr>
                <w:color w:val="auto"/>
                <w:sz w:val="16"/>
                <w:szCs w:val="14"/>
                <w:lang w:val="fr-CH"/>
              </w:rPr>
              <w:t xml:space="preserve">Permanent </w:t>
            </w:r>
            <w:proofErr w:type="spellStart"/>
            <w:proofErr w:type="gramStart"/>
            <w:r w:rsidRPr="00116C30">
              <w:rPr>
                <w:color w:val="auto"/>
                <w:sz w:val="16"/>
                <w:szCs w:val="14"/>
                <w:lang w:val="fr-CH"/>
              </w:rPr>
              <w:t>grassland</w:t>
            </w:r>
            <w:proofErr w:type="spellEnd"/>
            <w:r w:rsidRPr="00116C30">
              <w:rPr>
                <w:color w:val="auto"/>
                <w:sz w:val="16"/>
                <w:szCs w:val="14"/>
                <w:lang w:val="fr-CH"/>
              </w:rPr>
              <w:t>:</w:t>
            </w:r>
            <w:proofErr w:type="gramEnd"/>
            <w:r w:rsidRPr="00116C30">
              <w:rPr>
                <w:color w:val="auto"/>
                <w:sz w:val="16"/>
                <w:szCs w:val="14"/>
                <w:lang w:val="fr-CH"/>
              </w:rPr>
              <w:t xml:space="preserve"> 6.5 million ha</w:t>
            </w:r>
          </w:p>
        </w:tc>
        <w:tc>
          <w:tcPr>
            <w:tcW w:w="1432" w:type="pct"/>
            <w:vAlign w:val="center"/>
          </w:tcPr>
          <w:p w14:paraId="1D713DA0" w14:textId="77777777" w:rsidR="00502D3A" w:rsidRPr="00116C30" w:rsidRDefault="00502D3A" w:rsidP="0026372E">
            <w:pPr>
              <w:pStyle w:val="woa-table-text"/>
              <w:rPr>
                <w:color w:val="auto"/>
                <w:sz w:val="16"/>
                <w:szCs w:val="14"/>
                <w:lang w:val="fr-CH"/>
              </w:rPr>
            </w:pPr>
            <w:r w:rsidRPr="00116C30">
              <w:rPr>
                <w:color w:val="auto"/>
                <w:sz w:val="16"/>
                <w:szCs w:val="14"/>
                <w:lang w:val="fr-CH"/>
              </w:rPr>
              <w:t xml:space="preserve">Arable </w:t>
            </w:r>
            <w:proofErr w:type="spellStart"/>
            <w:proofErr w:type="gramStart"/>
            <w:r w:rsidRPr="00116C30">
              <w:rPr>
                <w:color w:val="auto"/>
                <w:sz w:val="16"/>
                <w:szCs w:val="14"/>
                <w:lang w:val="fr-CH"/>
              </w:rPr>
              <w:t>crops</w:t>
            </w:r>
            <w:proofErr w:type="spellEnd"/>
            <w:r w:rsidRPr="00116C30">
              <w:rPr>
                <w:color w:val="auto"/>
                <w:sz w:val="16"/>
                <w:szCs w:val="14"/>
                <w:lang w:val="fr-CH"/>
              </w:rPr>
              <w:t>:</w:t>
            </w:r>
            <w:proofErr w:type="gramEnd"/>
            <w:r w:rsidRPr="00116C30">
              <w:rPr>
                <w:color w:val="auto"/>
                <w:sz w:val="16"/>
                <w:szCs w:val="14"/>
                <w:lang w:val="fr-CH"/>
              </w:rPr>
              <w:t xml:space="preserve"> 6.6 million ha</w:t>
            </w:r>
          </w:p>
          <w:p w14:paraId="1C55EC08" w14:textId="77777777" w:rsidR="00502D3A" w:rsidRPr="00116C30" w:rsidRDefault="00502D3A" w:rsidP="0026372E">
            <w:pPr>
              <w:pStyle w:val="woa-table-text"/>
              <w:rPr>
                <w:color w:val="auto"/>
                <w:sz w:val="16"/>
                <w:szCs w:val="14"/>
                <w:lang w:val="fr-CH"/>
              </w:rPr>
            </w:pPr>
            <w:r w:rsidRPr="00116C30">
              <w:rPr>
                <w:color w:val="auto"/>
                <w:sz w:val="16"/>
                <w:szCs w:val="14"/>
                <w:lang w:val="fr-CH"/>
              </w:rPr>
              <w:t xml:space="preserve">Permanent </w:t>
            </w:r>
            <w:proofErr w:type="spellStart"/>
            <w:r w:rsidRPr="00116C30">
              <w:rPr>
                <w:color w:val="auto"/>
                <w:sz w:val="16"/>
                <w:szCs w:val="14"/>
                <w:lang w:val="fr-CH"/>
              </w:rPr>
              <w:t>crops</w:t>
            </w:r>
            <w:proofErr w:type="spellEnd"/>
            <w:r w:rsidRPr="00116C30">
              <w:rPr>
                <w:color w:val="auto"/>
                <w:sz w:val="16"/>
                <w:szCs w:val="14"/>
                <w:lang w:val="fr-CH"/>
              </w:rPr>
              <w:t xml:space="preserve"> 1.6 million ha</w:t>
            </w:r>
          </w:p>
          <w:p w14:paraId="274CBEA2" w14:textId="77777777" w:rsidR="00502D3A" w:rsidRPr="00116C30" w:rsidRDefault="00502D3A" w:rsidP="0026372E">
            <w:pPr>
              <w:pStyle w:val="woa-table-text"/>
              <w:rPr>
                <w:color w:val="auto"/>
                <w:sz w:val="16"/>
                <w:szCs w:val="14"/>
                <w:lang w:val="fr-CH"/>
              </w:rPr>
            </w:pPr>
            <w:r w:rsidRPr="00116C30">
              <w:rPr>
                <w:color w:val="auto"/>
                <w:sz w:val="16"/>
                <w:szCs w:val="14"/>
                <w:lang w:val="fr-CH"/>
              </w:rPr>
              <w:t xml:space="preserve">Permanent </w:t>
            </w:r>
            <w:proofErr w:type="spellStart"/>
            <w:proofErr w:type="gramStart"/>
            <w:r w:rsidRPr="00116C30">
              <w:rPr>
                <w:color w:val="auto"/>
                <w:sz w:val="16"/>
                <w:szCs w:val="14"/>
                <w:lang w:val="fr-CH"/>
              </w:rPr>
              <w:t>grassland</w:t>
            </w:r>
            <w:proofErr w:type="spellEnd"/>
            <w:r w:rsidRPr="00116C30">
              <w:rPr>
                <w:color w:val="auto"/>
                <w:sz w:val="16"/>
                <w:szCs w:val="14"/>
                <w:lang w:val="fr-CH"/>
              </w:rPr>
              <w:t>:</w:t>
            </w:r>
            <w:proofErr w:type="gramEnd"/>
            <w:r w:rsidRPr="00116C30">
              <w:rPr>
                <w:color w:val="auto"/>
                <w:sz w:val="16"/>
                <w:szCs w:val="14"/>
                <w:lang w:val="fr-CH"/>
              </w:rPr>
              <w:t xml:space="preserve"> 6.4 million ha</w:t>
            </w:r>
          </w:p>
        </w:tc>
        <w:tc>
          <w:tcPr>
            <w:tcW w:w="1180" w:type="pct"/>
            <w:vAlign w:val="center"/>
          </w:tcPr>
          <w:p w14:paraId="463A0A84" w14:textId="77777777" w:rsidR="00502D3A" w:rsidRPr="00116C30" w:rsidRDefault="00502D3A" w:rsidP="0026372E">
            <w:pPr>
              <w:pStyle w:val="woa-table-text"/>
              <w:rPr>
                <w:color w:val="auto"/>
                <w:sz w:val="16"/>
                <w:szCs w:val="14"/>
                <w:lang w:val="fr-CH"/>
              </w:rPr>
            </w:pPr>
          </w:p>
        </w:tc>
      </w:tr>
      <w:tr w:rsidR="00502D3A" w:rsidRPr="002E617C" w14:paraId="46ABFDB3" w14:textId="77777777" w:rsidTr="0098492F">
        <w:trPr>
          <w:cnfStyle w:val="000000010000" w:firstRow="0" w:lastRow="0" w:firstColumn="0" w:lastColumn="0" w:oddVBand="0" w:evenVBand="0" w:oddHBand="0" w:evenHBand="1" w:firstRowFirstColumn="0" w:firstRowLastColumn="0" w:lastRowFirstColumn="0" w:lastRowLastColumn="0"/>
          <w:trHeight w:val="206"/>
        </w:trPr>
        <w:tc>
          <w:tcPr>
            <w:tcW w:w="955" w:type="pct"/>
            <w:vAlign w:val="center"/>
          </w:tcPr>
          <w:p w14:paraId="43B113F5" w14:textId="77777777" w:rsidR="00502D3A" w:rsidRPr="0095158F" w:rsidRDefault="00502D3A" w:rsidP="0026372E">
            <w:pPr>
              <w:pStyle w:val="woa-table-text"/>
              <w:rPr>
                <w:b/>
                <w:color w:val="auto"/>
                <w:sz w:val="16"/>
                <w:szCs w:val="14"/>
                <w:lang w:val="en-GB"/>
              </w:rPr>
            </w:pPr>
            <w:r w:rsidRPr="0095158F">
              <w:rPr>
                <w:b/>
                <w:color w:val="auto"/>
                <w:sz w:val="16"/>
                <w:szCs w:val="14"/>
                <w:lang w:val="en-GB"/>
              </w:rPr>
              <w:t>Top arable crop groups</w:t>
            </w:r>
          </w:p>
        </w:tc>
        <w:tc>
          <w:tcPr>
            <w:tcW w:w="1432" w:type="pct"/>
            <w:vAlign w:val="center"/>
          </w:tcPr>
          <w:p w14:paraId="7B5778D0" w14:textId="77777777" w:rsidR="00502D3A" w:rsidRPr="0095158F" w:rsidRDefault="00502D3A" w:rsidP="0026372E">
            <w:pPr>
              <w:pStyle w:val="woa-table-text"/>
              <w:rPr>
                <w:color w:val="auto"/>
                <w:sz w:val="16"/>
                <w:szCs w:val="14"/>
                <w:lang w:val="en-GB"/>
              </w:rPr>
            </w:pPr>
            <w:r w:rsidRPr="0095158F">
              <w:rPr>
                <w:color w:val="auto"/>
                <w:sz w:val="16"/>
                <w:szCs w:val="14"/>
                <w:lang w:val="en-GB"/>
              </w:rPr>
              <w:t>Green fodder: 2.6 million ha</w:t>
            </w:r>
          </w:p>
          <w:p w14:paraId="65C2C975" w14:textId="77777777" w:rsidR="00502D3A" w:rsidRPr="0095158F" w:rsidRDefault="00502D3A" w:rsidP="0026372E">
            <w:pPr>
              <w:pStyle w:val="woa-table-text"/>
              <w:rPr>
                <w:color w:val="auto"/>
                <w:sz w:val="16"/>
                <w:szCs w:val="14"/>
                <w:lang w:val="en-GB"/>
              </w:rPr>
            </w:pPr>
            <w:r w:rsidRPr="0095158F">
              <w:rPr>
                <w:color w:val="auto"/>
                <w:sz w:val="16"/>
                <w:szCs w:val="14"/>
                <w:lang w:val="en-GB"/>
              </w:rPr>
              <w:t>Cereals: 3.0 million ha</w:t>
            </w:r>
            <w:r w:rsidRPr="0095158F">
              <w:rPr>
                <w:color w:val="auto"/>
                <w:sz w:val="16"/>
                <w:szCs w:val="14"/>
                <w:lang w:val="en-GB"/>
              </w:rPr>
              <w:br/>
              <w:t>Dry pulses: 0.7 million ha</w:t>
            </w:r>
          </w:p>
        </w:tc>
        <w:tc>
          <w:tcPr>
            <w:tcW w:w="1432" w:type="pct"/>
            <w:vAlign w:val="center"/>
          </w:tcPr>
          <w:p w14:paraId="7CB77E1E" w14:textId="77777777" w:rsidR="00502D3A" w:rsidRPr="0095158F" w:rsidRDefault="00502D3A" w:rsidP="0026372E">
            <w:pPr>
              <w:pStyle w:val="woa-table-text"/>
              <w:rPr>
                <w:color w:val="auto"/>
                <w:sz w:val="16"/>
                <w:szCs w:val="14"/>
                <w:lang w:val="en-GB"/>
              </w:rPr>
            </w:pPr>
            <w:r w:rsidRPr="0095158F">
              <w:rPr>
                <w:color w:val="auto"/>
                <w:sz w:val="16"/>
                <w:szCs w:val="14"/>
                <w:lang w:val="en-GB"/>
              </w:rPr>
              <w:t>Green fodder: 2.5 million ha</w:t>
            </w:r>
            <w:r w:rsidRPr="0095158F">
              <w:rPr>
                <w:color w:val="auto"/>
                <w:sz w:val="16"/>
                <w:szCs w:val="14"/>
                <w:lang w:val="en-GB"/>
              </w:rPr>
              <w:br/>
              <w:t>Cereals: 2.4 million ha</w:t>
            </w:r>
            <w:r w:rsidRPr="0095158F">
              <w:rPr>
                <w:color w:val="auto"/>
                <w:sz w:val="16"/>
                <w:szCs w:val="14"/>
                <w:lang w:val="en-GB"/>
              </w:rPr>
              <w:br/>
              <w:t>Dry pulses: 0.5 million ha</w:t>
            </w:r>
          </w:p>
        </w:tc>
        <w:tc>
          <w:tcPr>
            <w:tcW w:w="1180" w:type="pct"/>
            <w:vAlign w:val="center"/>
          </w:tcPr>
          <w:p w14:paraId="266E4554" w14:textId="77777777" w:rsidR="00502D3A" w:rsidRPr="0095158F" w:rsidRDefault="00502D3A" w:rsidP="0026372E">
            <w:pPr>
              <w:pStyle w:val="woa-table-text"/>
              <w:rPr>
                <w:color w:val="auto"/>
                <w:sz w:val="16"/>
                <w:szCs w:val="14"/>
                <w:lang w:val="en-GB"/>
              </w:rPr>
            </w:pPr>
            <w:r w:rsidRPr="0095158F">
              <w:rPr>
                <w:color w:val="auto"/>
                <w:sz w:val="16"/>
                <w:szCs w:val="14"/>
                <w:lang w:val="en-GB"/>
              </w:rPr>
              <w:t>Largest arable areas:</w:t>
            </w:r>
          </w:p>
          <w:p w14:paraId="6F6667E0" w14:textId="77777777" w:rsidR="00502D3A" w:rsidRPr="0095158F" w:rsidRDefault="00502D3A" w:rsidP="0026372E">
            <w:pPr>
              <w:pStyle w:val="woa-table-text"/>
              <w:rPr>
                <w:color w:val="auto"/>
                <w:sz w:val="16"/>
                <w:szCs w:val="14"/>
                <w:lang w:val="en-GB"/>
              </w:rPr>
            </w:pPr>
            <w:r w:rsidRPr="0095158F">
              <w:rPr>
                <w:color w:val="auto"/>
                <w:sz w:val="16"/>
                <w:szCs w:val="14"/>
                <w:lang w:val="en-GB"/>
              </w:rPr>
              <w:t xml:space="preserve">France (1.3 million ha) </w:t>
            </w:r>
            <w:r w:rsidRPr="0095158F">
              <w:rPr>
                <w:color w:val="auto"/>
                <w:sz w:val="16"/>
                <w:szCs w:val="14"/>
                <w:lang w:val="en-GB"/>
              </w:rPr>
              <w:br/>
              <w:t xml:space="preserve">Italy (1.0 million ha) </w:t>
            </w:r>
            <w:r w:rsidRPr="0095158F">
              <w:rPr>
                <w:color w:val="auto"/>
                <w:sz w:val="16"/>
                <w:szCs w:val="14"/>
                <w:lang w:val="en-GB"/>
              </w:rPr>
              <w:br/>
              <w:t>Germany (0.7 million ha)</w:t>
            </w:r>
          </w:p>
        </w:tc>
      </w:tr>
      <w:tr w:rsidR="00502D3A" w:rsidRPr="002E617C" w14:paraId="71882F94" w14:textId="77777777" w:rsidTr="0098492F">
        <w:trPr>
          <w:cnfStyle w:val="000000100000" w:firstRow="0" w:lastRow="0" w:firstColumn="0" w:lastColumn="0" w:oddVBand="0" w:evenVBand="0" w:oddHBand="1" w:evenHBand="0" w:firstRowFirstColumn="0" w:firstRowLastColumn="0" w:lastRowFirstColumn="0" w:lastRowLastColumn="0"/>
          <w:trHeight w:val="206"/>
        </w:trPr>
        <w:tc>
          <w:tcPr>
            <w:tcW w:w="955" w:type="pct"/>
            <w:vAlign w:val="center"/>
          </w:tcPr>
          <w:p w14:paraId="4F30A9A6" w14:textId="77777777" w:rsidR="00502D3A" w:rsidRPr="0095158F" w:rsidRDefault="00502D3A" w:rsidP="0026372E">
            <w:pPr>
              <w:pStyle w:val="woa-table-text"/>
              <w:rPr>
                <w:b/>
                <w:color w:val="auto"/>
                <w:sz w:val="16"/>
                <w:szCs w:val="14"/>
                <w:lang w:val="en-GB"/>
              </w:rPr>
            </w:pPr>
            <w:r w:rsidRPr="0095158F">
              <w:rPr>
                <w:b/>
                <w:color w:val="auto"/>
                <w:sz w:val="16"/>
                <w:szCs w:val="14"/>
                <w:lang w:val="en-GB"/>
              </w:rPr>
              <w:t>Top permanent crop groups</w:t>
            </w:r>
          </w:p>
        </w:tc>
        <w:tc>
          <w:tcPr>
            <w:tcW w:w="1432" w:type="pct"/>
            <w:vAlign w:val="center"/>
          </w:tcPr>
          <w:p w14:paraId="18E9152E" w14:textId="77777777" w:rsidR="00502D3A" w:rsidRPr="0095158F" w:rsidRDefault="00502D3A" w:rsidP="0026372E">
            <w:pPr>
              <w:pStyle w:val="woa-table-text"/>
              <w:rPr>
                <w:color w:val="auto"/>
                <w:sz w:val="16"/>
                <w:szCs w:val="14"/>
                <w:lang w:val="en-GB"/>
              </w:rPr>
            </w:pPr>
            <w:r w:rsidRPr="0095158F">
              <w:rPr>
                <w:color w:val="auto"/>
                <w:sz w:val="16"/>
                <w:szCs w:val="14"/>
                <w:lang w:val="en-GB"/>
              </w:rPr>
              <w:t>Olives: 0.6 million ha</w:t>
            </w:r>
          </w:p>
          <w:p w14:paraId="40DE5150" w14:textId="77777777" w:rsidR="00502D3A" w:rsidRPr="0095158F" w:rsidRDefault="00502D3A" w:rsidP="0026372E">
            <w:pPr>
              <w:pStyle w:val="woa-table-text"/>
              <w:rPr>
                <w:color w:val="auto"/>
                <w:sz w:val="16"/>
                <w:szCs w:val="14"/>
                <w:lang w:val="en-GB"/>
              </w:rPr>
            </w:pPr>
            <w:r w:rsidRPr="0095158F">
              <w:rPr>
                <w:color w:val="auto"/>
                <w:sz w:val="16"/>
                <w:szCs w:val="14"/>
                <w:lang w:val="en-GB"/>
              </w:rPr>
              <w:t>Grapes: 0.4 million ha</w:t>
            </w:r>
          </w:p>
          <w:p w14:paraId="2BE24E78" w14:textId="77777777" w:rsidR="00502D3A" w:rsidRPr="0095158F" w:rsidRDefault="00502D3A" w:rsidP="0026372E">
            <w:pPr>
              <w:pStyle w:val="woa-table-text"/>
              <w:rPr>
                <w:color w:val="auto"/>
                <w:sz w:val="16"/>
                <w:szCs w:val="14"/>
                <w:lang w:val="en-GB"/>
              </w:rPr>
            </w:pPr>
            <w:r w:rsidRPr="0095158F">
              <w:rPr>
                <w:color w:val="auto"/>
                <w:sz w:val="16"/>
                <w:szCs w:val="14"/>
                <w:lang w:val="en-GB"/>
              </w:rPr>
              <w:t>Nuts: 0.3 million ha</w:t>
            </w:r>
          </w:p>
        </w:tc>
        <w:tc>
          <w:tcPr>
            <w:tcW w:w="1432" w:type="pct"/>
            <w:vAlign w:val="center"/>
          </w:tcPr>
          <w:p w14:paraId="23E9145B" w14:textId="77777777" w:rsidR="00502D3A" w:rsidRPr="0095158F" w:rsidRDefault="00502D3A" w:rsidP="0026372E">
            <w:pPr>
              <w:pStyle w:val="woa-table-text"/>
              <w:rPr>
                <w:color w:val="auto"/>
                <w:sz w:val="16"/>
                <w:szCs w:val="14"/>
                <w:lang w:val="en-GB"/>
              </w:rPr>
            </w:pPr>
            <w:r w:rsidRPr="0095158F">
              <w:rPr>
                <w:color w:val="auto"/>
                <w:sz w:val="16"/>
                <w:szCs w:val="14"/>
                <w:lang w:val="en-GB"/>
              </w:rPr>
              <w:t>Olives: 0.5 million ha</w:t>
            </w:r>
          </w:p>
          <w:p w14:paraId="3FBEBAD4" w14:textId="77777777" w:rsidR="00502D3A" w:rsidRPr="0095158F" w:rsidRDefault="00502D3A" w:rsidP="0026372E">
            <w:pPr>
              <w:pStyle w:val="woa-table-text"/>
              <w:rPr>
                <w:color w:val="auto"/>
                <w:sz w:val="16"/>
                <w:szCs w:val="14"/>
                <w:lang w:val="en-GB"/>
              </w:rPr>
            </w:pPr>
            <w:r w:rsidRPr="0095158F">
              <w:rPr>
                <w:color w:val="auto"/>
                <w:sz w:val="16"/>
                <w:szCs w:val="14"/>
                <w:lang w:val="en-GB"/>
              </w:rPr>
              <w:t>Grapes: 0.4 million ha</w:t>
            </w:r>
          </w:p>
          <w:p w14:paraId="131233B4" w14:textId="77777777" w:rsidR="00502D3A" w:rsidRPr="0095158F" w:rsidRDefault="00502D3A" w:rsidP="0026372E">
            <w:pPr>
              <w:pStyle w:val="woa-table-text"/>
              <w:rPr>
                <w:color w:val="auto"/>
                <w:sz w:val="16"/>
                <w:szCs w:val="14"/>
                <w:lang w:val="en-GB"/>
              </w:rPr>
            </w:pPr>
            <w:r w:rsidRPr="0095158F">
              <w:rPr>
                <w:color w:val="auto"/>
                <w:sz w:val="16"/>
                <w:szCs w:val="14"/>
                <w:lang w:val="en-GB"/>
              </w:rPr>
              <w:t>Nuts: 0.3 million ha</w:t>
            </w:r>
          </w:p>
        </w:tc>
        <w:tc>
          <w:tcPr>
            <w:tcW w:w="1180" w:type="pct"/>
            <w:vAlign w:val="center"/>
          </w:tcPr>
          <w:p w14:paraId="3C564E51" w14:textId="77777777" w:rsidR="00502D3A" w:rsidRPr="0095158F" w:rsidRDefault="00502D3A" w:rsidP="0026372E">
            <w:pPr>
              <w:pStyle w:val="woa-table-text"/>
              <w:rPr>
                <w:color w:val="auto"/>
                <w:sz w:val="16"/>
                <w:szCs w:val="14"/>
                <w:lang w:val="en-GB"/>
              </w:rPr>
            </w:pPr>
            <w:r w:rsidRPr="0095158F">
              <w:rPr>
                <w:color w:val="auto"/>
                <w:sz w:val="16"/>
                <w:szCs w:val="14"/>
                <w:lang w:val="en-GB"/>
              </w:rPr>
              <w:t>Largest permanent crop areas:</w:t>
            </w:r>
          </w:p>
          <w:p w14:paraId="56074FAB" w14:textId="77777777" w:rsidR="00502D3A" w:rsidRPr="0095158F" w:rsidRDefault="00502D3A" w:rsidP="0026372E">
            <w:pPr>
              <w:pStyle w:val="woa-table-text"/>
              <w:rPr>
                <w:color w:val="auto"/>
                <w:sz w:val="16"/>
                <w:szCs w:val="14"/>
                <w:lang w:val="en-GB"/>
              </w:rPr>
            </w:pPr>
            <w:r w:rsidRPr="0095158F">
              <w:rPr>
                <w:color w:val="auto"/>
                <w:sz w:val="16"/>
                <w:szCs w:val="14"/>
                <w:lang w:val="en-GB"/>
              </w:rPr>
              <w:t>Spain (0.6 million ha)</w:t>
            </w:r>
            <w:r w:rsidRPr="0095158F">
              <w:rPr>
                <w:color w:val="auto"/>
                <w:sz w:val="16"/>
                <w:szCs w:val="14"/>
                <w:lang w:val="en-GB"/>
              </w:rPr>
              <w:br/>
              <w:t>Italy (0.5 million ha)</w:t>
            </w:r>
            <w:r w:rsidRPr="0095158F">
              <w:rPr>
                <w:color w:val="auto"/>
                <w:sz w:val="16"/>
                <w:szCs w:val="14"/>
                <w:lang w:val="en-GB"/>
              </w:rPr>
              <w:br/>
              <w:t>Turkey (0.2 million ha)</w:t>
            </w:r>
          </w:p>
        </w:tc>
      </w:tr>
      <w:tr w:rsidR="00502D3A" w:rsidRPr="002E617C" w14:paraId="67EDB2BF" w14:textId="77777777" w:rsidTr="0098492F">
        <w:trPr>
          <w:cnfStyle w:val="000000010000" w:firstRow="0" w:lastRow="0" w:firstColumn="0" w:lastColumn="0" w:oddVBand="0" w:evenVBand="0" w:oddHBand="0" w:evenHBand="1" w:firstRowFirstColumn="0" w:firstRowLastColumn="0" w:lastRowFirstColumn="0" w:lastRowLastColumn="0"/>
          <w:trHeight w:val="206"/>
        </w:trPr>
        <w:tc>
          <w:tcPr>
            <w:tcW w:w="955" w:type="pct"/>
            <w:vAlign w:val="center"/>
          </w:tcPr>
          <w:p w14:paraId="10964684" w14:textId="77777777" w:rsidR="00502D3A" w:rsidRPr="0095158F" w:rsidRDefault="00502D3A" w:rsidP="0026372E">
            <w:pPr>
              <w:pStyle w:val="woa-table-text"/>
              <w:rPr>
                <w:b/>
                <w:color w:val="auto"/>
                <w:sz w:val="16"/>
                <w:szCs w:val="14"/>
                <w:lang w:val="en-GB"/>
              </w:rPr>
            </w:pPr>
            <w:r w:rsidRPr="0095158F">
              <w:rPr>
                <w:b/>
                <w:color w:val="auto"/>
                <w:sz w:val="16"/>
                <w:szCs w:val="14"/>
                <w:lang w:val="en-GB"/>
              </w:rPr>
              <w:t>Wild collection area</w:t>
            </w:r>
          </w:p>
        </w:tc>
        <w:tc>
          <w:tcPr>
            <w:tcW w:w="1432" w:type="pct"/>
            <w:vAlign w:val="center"/>
          </w:tcPr>
          <w:p w14:paraId="701BF245" w14:textId="77777777" w:rsidR="00502D3A" w:rsidRPr="0095158F" w:rsidRDefault="00502D3A" w:rsidP="0026372E">
            <w:pPr>
              <w:pStyle w:val="woa-table-text"/>
              <w:rPr>
                <w:color w:val="auto"/>
                <w:sz w:val="16"/>
                <w:szCs w:val="14"/>
                <w:lang w:val="en-GB"/>
              </w:rPr>
            </w:pPr>
            <w:r w:rsidRPr="0095158F">
              <w:rPr>
                <w:color w:val="auto"/>
                <w:sz w:val="16"/>
                <w:szCs w:val="14"/>
                <w:lang w:val="en-GB"/>
              </w:rPr>
              <w:t>10.5 million ha</w:t>
            </w:r>
          </w:p>
        </w:tc>
        <w:tc>
          <w:tcPr>
            <w:tcW w:w="1432" w:type="pct"/>
            <w:vAlign w:val="center"/>
          </w:tcPr>
          <w:p w14:paraId="7B2A235E" w14:textId="77777777" w:rsidR="00502D3A" w:rsidRPr="0095158F" w:rsidRDefault="00502D3A" w:rsidP="0026372E">
            <w:pPr>
              <w:pStyle w:val="woa-table-text"/>
              <w:rPr>
                <w:color w:val="auto"/>
                <w:sz w:val="16"/>
                <w:szCs w:val="14"/>
                <w:lang w:val="en-GB"/>
              </w:rPr>
            </w:pPr>
            <w:r w:rsidRPr="0095158F">
              <w:rPr>
                <w:color w:val="auto"/>
                <w:sz w:val="16"/>
                <w:szCs w:val="14"/>
                <w:lang w:val="en-GB"/>
              </w:rPr>
              <w:t>7.1 million ha</w:t>
            </w:r>
          </w:p>
        </w:tc>
        <w:tc>
          <w:tcPr>
            <w:tcW w:w="1180" w:type="pct"/>
            <w:vAlign w:val="center"/>
          </w:tcPr>
          <w:p w14:paraId="1A9BD958" w14:textId="77777777" w:rsidR="00502D3A" w:rsidRPr="00116C30" w:rsidRDefault="00502D3A" w:rsidP="0026372E">
            <w:pPr>
              <w:pStyle w:val="woa-table-text"/>
              <w:rPr>
                <w:color w:val="auto"/>
                <w:sz w:val="16"/>
                <w:szCs w:val="14"/>
                <w:lang w:val="it-CH"/>
              </w:rPr>
            </w:pPr>
            <w:proofErr w:type="spellStart"/>
            <w:r w:rsidRPr="00116C30">
              <w:rPr>
                <w:color w:val="auto"/>
                <w:sz w:val="16"/>
                <w:szCs w:val="14"/>
                <w:lang w:val="it-CH"/>
              </w:rPr>
              <w:t>Finland</w:t>
            </w:r>
            <w:proofErr w:type="spellEnd"/>
            <w:r w:rsidRPr="00116C30">
              <w:rPr>
                <w:color w:val="auto"/>
                <w:sz w:val="16"/>
                <w:szCs w:val="14"/>
                <w:lang w:val="it-CH"/>
              </w:rPr>
              <w:t xml:space="preserve"> (4.6 </w:t>
            </w:r>
            <w:proofErr w:type="spellStart"/>
            <w:r w:rsidRPr="00116C30">
              <w:rPr>
                <w:color w:val="auto"/>
                <w:sz w:val="16"/>
                <w:szCs w:val="14"/>
                <w:lang w:val="it-CH"/>
              </w:rPr>
              <w:t>million</w:t>
            </w:r>
            <w:proofErr w:type="spellEnd"/>
            <w:r w:rsidRPr="00116C30">
              <w:rPr>
                <w:color w:val="auto"/>
                <w:sz w:val="16"/>
                <w:szCs w:val="14"/>
                <w:lang w:val="it-CH"/>
              </w:rPr>
              <w:t xml:space="preserve"> ha) </w:t>
            </w:r>
            <w:r w:rsidRPr="00116C30">
              <w:rPr>
                <w:color w:val="auto"/>
                <w:sz w:val="16"/>
                <w:szCs w:val="14"/>
                <w:lang w:val="it-CH"/>
              </w:rPr>
              <w:br/>
              <w:t xml:space="preserve">Romania (1.8 </w:t>
            </w:r>
            <w:proofErr w:type="spellStart"/>
            <w:r w:rsidRPr="00116C30">
              <w:rPr>
                <w:color w:val="auto"/>
                <w:sz w:val="16"/>
                <w:szCs w:val="14"/>
                <w:lang w:val="it-CH"/>
              </w:rPr>
              <w:t>million</w:t>
            </w:r>
            <w:proofErr w:type="spellEnd"/>
            <w:r w:rsidRPr="00116C30">
              <w:rPr>
                <w:color w:val="auto"/>
                <w:sz w:val="16"/>
                <w:szCs w:val="14"/>
                <w:lang w:val="it-CH"/>
              </w:rPr>
              <w:t xml:space="preserve"> ha; 2014) </w:t>
            </w:r>
            <w:r w:rsidRPr="00116C30">
              <w:rPr>
                <w:color w:val="auto"/>
                <w:sz w:val="16"/>
                <w:szCs w:val="14"/>
                <w:lang w:val="it-CH"/>
              </w:rPr>
              <w:br/>
              <w:t xml:space="preserve">Belarus (1.5 </w:t>
            </w:r>
            <w:proofErr w:type="spellStart"/>
            <w:r w:rsidRPr="00116C30">
              <w:rPr>
                <w:color w:val="auto"/>
                <w:sz w:val="16"/>
                <w:szCs w:val="14"/>
                <w:lang w:val="it-CH"/>
              </w:rPr>
              <w:t>million</w:t>
            </w:r>
            <w:proofErr w:type="spellEnd"/>
            <w:r w:rsidRPr="00116C30">
              <w:rPr>
                <w:color w:val="auto"/>
                <w:sz w:val="16"/>
                <w:szCs w:val="14"/>
                <w:lang w:val="it-CH"/>
              </w:rPr>
              <w:t xml:space="preserve"> ha)</w:t>
            </w:r>
          </w:p>
        </w:tc>
      </w:tr>
      <w:tr w:rsidR="00502D3A" w:rsidRPr="002E617C" w14:paraId="790391BA" w14:textId="77777777" w:rsidTr="0098492F">
        <w:trPr>
          <w:cnfStyle w:val="000000100000" w:firstRow="0" w:lastRow="0" w:firstColumn="0" w:lastColumn="0" w:oddVBand="0" w:evenVBand="0" w:oddHBand="1" w:evenHBand="0" w:firstRowFirstColumn="0" w:firstRowLastColumn="0" w:lastRowFirstColumn="0" w:lastRowLastColumn="0"/>
          <w:trHeight w:val="206"/>
        </w:trPr>
        <w:tc>
          <w:tcPr>
            <w:tcW w:w="955" w:type="pct"/>
            <w:vAlign w:val="center"/>
          </w:tcPr>
          <w:p w14:paraId="24EF48EB" w14:textId="77777777" w:rsidR="00502D3A" w:rsidRPr="0095158F" w:rsidRDefault="00502D3A" w:rsidP="0026372E">
            <w:pPr>
              <w:pStyle w:val="woa-table-text"/>
              <w:rPr>
                <w:b/>
                <w:color w:val="auto"/>
                <w:sz w:val="16"/>
                <w:szCs w:val="14"/>
                <w:lang w:val="en-GB"/>
              </w:rPr>
            </w:pPr>
            <w:r w:rsidRPr="0095158F">
              <w:rPr>
                <w:b/>
                <w:color w:val="auto"/>
                <w:sz w:val="16"/>
                <w:szCs w:val="14"/>
                <w:lang w:val="en-GB"/>
              </w:rPr>
              <w:t xml:space="preserve">Producers </w:t>
            </w:r>
          </w:p>
        </w:tc>
        <w:tc>
          <w:tcPr>
            <w:tcW w:w="1432" w:type="pct"/>
            <w:vAlign w:val="center"/>
          </w:tcPr>
          <w:p w14:paraId="0ACD18B2" w14:textId="77777777" w:rsidR="00502D3A" w:rsidRPr="0095158F" w:rsidRDefault="00502D3A" w:rsidP="0026372E">
            <w:pPr>
              <w:pStyle w:val="woa-table-text"/>
              <w:rPr>
                <w:color w:val="auto"/>
                <w:sz w:val="16"/>
                <w:szCs w:val="14"/>
                <w:lang w:val="en-GB"/>
              </w:rPr>
            </w:pPr>
            <w:r w:rsidRPr="0095158F">
              <w:rPr>
                <w:color w:val="auto"/>
                <w:sz w:val="16"/>
                <w:szCs w:val="14"/>
                <w:lang w:val="en-GB"/>
              </w:rPr>
              <w:t>430'794</w:t>
            </w:r>
          </w:p>
        </w:tc>
        <w:tc>
          <w:tcPr>
            <w:tcW w:w="1432" w:type="pct"/>
            <w:vAlign w:val="center"/>
          </w:tcPr>
          <w:p w14:paraId="7939166A" w14:textId="77777777" w:rsidR="00502D3A" w:rsidRPr="0095158F" w:rsidRDefault="00502D3A" w:rsidP="0026372E">
            <w:pPr>
              <w:pStyle w:val="woa-table-text"/>
              <w:rPr>
                <w:color w:val="auto"/>
                <w:sz w:val="16"/>
                <w:szCs w:val="14"/>
                <w:lang w:val="en-GB"/>
              </w:rPr>
            </w:pPr>
            <w:r w:rsidRPr="0095158F">
              <w:rPr>
                <w:color w:val="auto"/>
                <w:sz w:val="16"/>
                <w:szCs w:val="14"/>
                <w:lang w:val="en-GB"/>
              </w:rPr>
              <w:t>343'858</w:t>
            </w:r>
          </w:p>
        </w:tc>
        <w:tc>
          <w:tcPr>
            <w:tcW w:w="1180" w:type="pct"/>
            <w:vAlign w:val="center"/>
          </w:tcPr>
          <w:p w14:paraId="1E1DD1BA" w14:textId="77777777" w:rsidR="00502D3A" w:rsidRPr="0095158F" w:rsidRDefault="00502D3A" w:rsidP="0026372E">
            <w:pPr>
              <w:pStyle w:val="woa-table-text"/>
              <w:rPr>
                <w:color w:val="auto"/>
                <w:sz w:val="16"/>
                <w:szCs w:val="14"/>
                <w:lang w:val="en-GB"/>
              </w:rPr>
            </w:pPr>
            <w:r w:rsidRPr="0095158F">
              <w:rPr>
                <w:color w:val="auto"/>
                <w:sz w:val="16"/>
                <w:szCs w:val="14"/>
                <w:lang w:val="en-GB"/>
              </w:rPr>
              <w:t>Turkey: (74'545)</w:t>
            </w:r>
            <w:r w:rsidRPr="0095158F">
              <w:rPr>
                <w:color w:val="auto"/>
                <w:sz w:val="16"/>
                <w:szCs w:val="14"/>
                <w:lang w:val="en-GB"/>
              </w:rPr>
              <w:br/>
              <w:t>Italy (70'561)</w:t>
            </w:r>
            <w:r w:rsidRPr="0095158F">
              <w:rPr>
                <w:color w:val="auto"/>
                <w:sz w:val="16"/>
                <w:szCs w:val="14"/>
                <w:lang w:val="en-GB"/>
              </w:rPr>
              <w:br/>
              <w:t>France (47'196)</w:t>
            </w:r>
          </w:p>
        </w:tc>
      </w:tr>
      <w:tr w:rsidR="00502D3A" w:rsidRPr="002E617C" w14:paraId="50A89E70" w14:textId="77777777" w:rsidTr="0098492F">
        <w:trPr>
          <w:cnfStyle w:val="000000010000" w:firstRow="0" w:lastRow="0" w:firstColumn="0" w:lastColumn="0" w:oddVBand="0" w:evenVBand="0" w:oddHBand="0" w:evenHBand="1" w:firstRowFirstColumn="0" w:firstRowLastColumn="0" w:lastRowFirstColumn="0" w:lastRowLastColumn="0"/>
          <w:trHeight w:val="206"/>
        </w:trPr>
        <w:tc>
          <w:tcPr>
            <w:tcW w:w="955" w:type="pct"/>
            <w:vAlign w:val="center"/>
          </w:tcPr>
          <w:p w14:paraId="18FA7F83" w14:textId="77777777" w:rsidR="00502D3A" w:rsidRPr="0095158F" w:rsidRDefault="00502D3A" w:rsidP="0026372E">
            <w:pPr>
              <w:pStyle w:val="woa-table-text"/>
              <w:rPr>
                <w:b/>
                <w:color w:val="auto"/>
                <w:sz w:val="16"/>
                <w:szCs w:val="14"/>
                <w:lang w:val="en-GB"/>
              </w:rPr>
            </w:pPr>
            <w:r w:rsidRPr="0095158F">
              <w:rPr>
                <w:b/>
                <w:color w:val="auto"/>
                <w:sz w:val="16"/>
                <w:szCs w:val="14"/>
                <w:lang w:val="en-GB"/>
              </w:rPr>
              <w:t xml:space="preserve">Processors </w:t>
            </w:r>
          </w:p>
        </w:tc>
        <w:tc>
          <w:tcPr>
            <w:tcW w:w="1432" w:type="pct"/>
            <w:vAlign w:val="center"/>
          </w:tcPr>
          <w:p w14:paraId="5CFA90A4" w14:textId="77777777" w:rsidR="00502D3A" w:rsidRPr="0095158F" w:rsidRDefault="00502D3A" w:rsidP="0026372E">
            <w:pPr>
              <w:pStyle w:val="woa-table-text"/>
              <w:rPr>
                <w:color w:val="auto"/>
                <w:sz w:val="16"/>
                <w:szCs w:val="14"/>
                <w:lang w:val="en-GB"/>
              </w:rPr>
            </w:pPr>
            <w:r w:rsidRPr="0095158F">
              <w:rPr>
                <w:color w:val="auto"/>
                <w:sz w:val="16"/>
                <w:szCs w:val="14"/>
                <w:lang w:val="en-GB"/>
              </w:rPr>
              <w:t>81'719</w:t>
            </w:r>
          </w:p>
        </w:tc>
        <w:tc>
          <w:tcPr>
            <w:tcW w:w="1432" w:type="pct"/>
            <w:vAlign w:val="center"/>
          </w:tcPr>
          <w:p w14:paraId="138BCB6F" w14:textId="77777777" w:rsidR="00502D3A" w:rsidRPr="0095158F" w:rsidRDefault="00502D3A" w:rsidP="0026372E">
            <w:pPr>
              <w:pStyle w:val="woa-table-text"/>
              <w:rPr>
                <w:color w:val="auto"/>
                <w:sz w:val="16"/>
                <w:szCs w:val="14"/>
                <w:lang w:val="en-GB"/>
              </w:rPr>
            </w:pPr>
            <w:r w:rsidRPr="0095158F">
              <w:rPr>
                <w:color w:val="auto"/>
                <w:sz w:val="16"/>
                <w:szCs w:val="14"/>
                <w:lang w:val="en-GB"/>
              </w:rPr>
              <w:t>78'240</w:t>
            </w:r>
          </w:p>
        </w:tc>
        <w:tc>
          <w:tcPr>
            <w:tcW w:w="1180" w:type="pct"/>
            <w:vAlign w:val="center"/>
          </w:tcPr>
          <w:p w14:paraId="75080B5B" w14:textId="77777777" w:rsidR="00502D3A" w:rsidRPr="0095158F" w:rsidRDefault="00502D3A" w:rsidP="0026372E">
            <w:pPr>
              <w:pStyle w:val="woa-table-text"/>
              <w:rPr>
                <w:color w:val="auto"/>
                <w:sz w:val="16"/>
                <w:szCs w:val="14"/>
                <w:lang w:val="en-GB"/>
              </w:rPr>
            </w:pPr>
            <w:r w:rsidRPr="0095158F">
              <w:rPr>
                <w:color w:val="auto"/>
                <w:sz w:val="16"/>
                <w:szCs w:val="14"/>
                <w:lang w:val="en-GB"/>
              </w:rPr>
              <w:t>Italy (21'940)</w:t>
            </w:r>
            <w:r w:rsidRPr="0095158F">
              <w:rPr>
                <w:color w:val="auto"/>
                <w:sz w:val="16"/>
                <w:szCs w:val="14"/>
                <w:lang w:val="en-GB"/>
              </w:rPr>
              <w:br/>
              <w:t>France (19'311)</w:t>
            </w:r>
            <w:r w:rsidRPr="0095158F">
              <w:rPr>
                <w:color w:val="auto"/>
                <w:sz w:val="16"/>
                <w:szCs w:val="14"/>
                <w:lang w:val="en-GB"/>
              </w:rPr>
              <w:br/>
              <w:t>Germany (16'162)</w:t>
            </w:r>
          </w:p>
        </w:tc>
      </w:tr>
      <w:tr w:rsidR="00502D3A" w:rsidRPr="003E6FEB" w14:paraId="1D5AE096" w14:textId="77777777" w:rsidTr="0098492F">
        <w:trPr>
          <w:cnfStyle w:val="000000100000" w:firstRow="0" w:lastRow="0" w:firstColumn="0" w:lastColumn="0" w:oddVBand="0" w:evenVBand="0" w:oddHBand="1" w:evenHBand="0" w:firstRowFirstColumn="0" w:firstRowLastColumn="0" w:lastRowFirstColumn="0" w:lastRowLastColumn="0"/>
          <w:trHeight w:val="206"/>
        </w:trPr>
        <w:tc>
          <w:tcPr>
            <w:tcW w:w="955" w:type="pct"/>
            <w:vAlign w:val="center"/>
          </w:tcPr>
          <w:p w14:paraId="6FD31C9B" w14:textId="77777777" w:rsidR="00502D3A" w:rsidRPr="0095158F" w:rsidRDefault="00502D3A" w:rsidP="0026372E">
            <w:pPr>
              <w:pStyle w:val="woa-table-text"/>
              <w:rPr>
                <w:b/>
                <w:color w:val="auto"/>
                <w:sz w:val="16"/>
                <w:szCs w:val="14"/>
                <w:lang w:val="en-GB"/>
              </w:rPr>
            </w:pPr>
            <w:r w:rsidRPr="0095158F">
              <w:rPr>
                <w:b/>
                <w:color w:val="auto"/>
                <w:sz w:val="16"/>
                <w:szCs w:val="14"/>
                <w:lang w:val="en-GB"/>
              </w:rPr>
              <w:t xml:space="preserve">Importers </w:t>
            </w:r>
          </w:p>
        </w:tc>
        <w:tc>
          <w:tcPr>
            <w:tcW w:w="1432" w:type="pct"/>
            <w:vAlign w:val="center"/>
          </w:tcPr>
          <w:p w14:paraId="10FD520F" w14:textId="77777777" w:rsidR="00502D3A" w:rsidRPr="0095158F" w:rsidRDefault="00502D3A" w:rsidP="0026372E">
            <w:pPr>
              <w:pStyle w:val="woa-table-text"/>
              <w:rPr>
                <w:color w:val="auto"/>
                <w:sz w:val="16"/>
                <w:szCs w:val="14"/>
                <w:lang w:val="en-GB"/>
              </w:rPr>
            </w:pPr>
            <w:r w:rsidRPr="0095158F">
              <w:rPr>
                <w:color w:val="auto"/>
                <w:sz w:val="16"/>
                <w:szCs w:val="14"/>
                <w:lang w:val="en-GB"/>
              </w:rPr>
              <w:t>6'508</w:t>
            </w:r>
          </w:p>
        </w:tc>
        <w:tc>
          <w:tcPr>
            <w:tcW w:w="1432" w:type="pct"/>
            <w:vAlign w:val="center"/>
          </w:tcPr>
          <w:p w14:paraId="6141C4B7" w14:textId="77777777" w:rsidR="00502D3A" w:rsidRPr="0095158F" w:rsidRDefault="00502D3A" w:rsidP="0026372E">
            <w:pPr>
              <w:pStyle w:val="woa-table-text"/>
              <w:rPr>
                <w:color w:val="auto"/>
                <w:sz w:val="16"/>
                <w:szCs w:val="14"/>
                <w:lang w:val="en-GB"/>
              </w:rPr>
            </w:pPr>
            <w:r w:rsidRPr="0095158F">
              <w:rPr>
                <w:color w:val="auto"/>
                <w:sz w:val="16"/>
                <w:szCs w:val="14"/>
                <w:lang w:val="en-GB"/>
              </w:rPr>
              <w:t>5'747</w:t>
            </w:r>
          </w:p>
        </w:tc>
        <w:tc>
          <w:tcPr>
            <w:tcW w:w="1180" w:type="pct"/>
            <w:vAlign w:val="center"/>
          </w:tcPr>
          <w:p w14:paraId="33249452" w14:textId="77777777" w:rsidR="00502D3A" w:rsidRPr="0095158F" w:rsidRDefault="00502D3A" w:rsidP="0026372E">
            <w:pPr>
              <w:pStyle w:val="woa-table-text"/>
              <w:rPr>
                <w:color w:val="auto"/>
                <w:sz w:val="16"/>
                <w:szCs w:val="14"/>
                <w:lang w:val="en-GB"/>
              </w:rPr>
            </w:pPr>
            <w:r w:rsidRPr="0095158F">
              <w:rPr>
                <w:color w:val="auto"/>
                <w:sz w:val="16"/>
                <w:szCs w:val="14"/>
                <w:lang w:val="en-GB"/>
              </w:rPr>
              <w:t xml:space="preserve">Germany (1'831) </w:t>
            </w:r>
            <w:r w:rsidRPr="0095158F">
              <w:rPr>
                <w:color w:val="auto"/>
                <w:sz w:val="16"/>
                <w:szCs w:val="14"/>
                <w:lang w:val="en-GB"/>
              </w:rPr>
              <w:br/>
              <w:t>France (662)</w:t>
            </w:r>
            <w:r w:rsidRPr="0095158F">
              <w:rPr>
                <w:color w:val="auto"/>
                <w:sz w:val="16"/>
                <w:szCs w:val="14"/>
                <w:lang w:val="en-GB"/>
              </w:rPr>
              <w:br/>
              <w:t>Switzerland (548)</w:t>
            </w:r>
          </w:p>
        </w:tc>
      </w:tr>
      <w:tr w:rsidR="00502D3A" w:rsidRPr="003E6FEB" w14:paraId="0785CF98" w14:textId="77777777" w:rsidTr="0098492F">
        <w:trPr>
          <w:cnfStyle w:val="000000010000" w:firstRow="0" w:lastRow="0" w:firstColumn="0" w:lastColumn="0" w:oddVBand="0" w:evenVBand="0" w:oddHBand="0" w:evenHBand="1" w:firstRowFirstColumn="0" w:firstRowLastColumn="0" w:lastRowFirstColumn="0" w:lastRowLastColumn="0"/>
          <w:trHeight w:val="206"/>
        </w:trPr>
        <w:tc>
          <w:tcPr>
            <w:tcW w:w="955" w:type="pct"/>
            <w:vAlign w:val="center"/>
          </w:tcPr>
          <w:p w14:paraId="4266A951" w14:textId="77777777" w:rsidR="00502D3A" w:rsidRPr="0095158F" w:rsidRDefault="00502D3A" w:rsidP="0026372E">
            <w:pPr>
              <w:pStyle w:val="woa-table-text"/>
              <w:rPr>
                <w:b/>
                <w:color w:val="auto"/>
                <w:sz w:val="16"/>
                <w:szCs w:val="14"/>
                <w:lang w:val="en-GB"/>
              </w:rPr>
            </w:pPr>
            <w:r w:rsidRPr="0095158F">
              <w:rPr>
                <w:b/>
                <w:color w:val="auto"/>
                <w:sz w:val="16"/>
                <w:szCs w:val="14"/>
                <w:lang w:val="en-GB"/>
              </w:rPr>
              <w:t>Retail sales</w:t>
            </w:r>
          </w:p>
        </w:tc>
        <w:tc>
          <w:tcPr>
            <w:tcW w:w="1432" w:type="pct"/>
            <w:vAlign w:val="center"/>
          </w:tcPr>
          <w:p w14:paraId="777A658F" w14:textId="4B5E7F29" w:rsidR="00502D3A" w:rsidRPr="0095158F" w:rsidRDefault="00F72159" w:rsidP="0026372E">
            <w:pPr>
              <w:pStyle w:val="woa-table-text"/>
              <w:rPr>
                <w:color w:val="auto"/>
                <w:sz w:val="16"/>
                <w:szCs w:val="14"/>
                <w:lang w:val="en-GB"/>
              </w:rPr>
            </w:pPr>
            <w:r w:rsidRPr="0095158F">
              <w:rPr>
                <w:color w:val="auto"/>
                <w:sz w:val="16"/>
                <w:szCs w:val="14"/>
                <w:lang w:val="en-GB"/>
              </w:rPr>
              <w:t>€</w:t>
            </w:r>
            <w:r w:rsidR="00502D3A" w:rsidRPr="0095158F">
              <w:rPr>
                <w:color w:val="auto"/>
                <w:sz w:val="16"/>
                <w:szCs w:val="14"/>
                <w:lang w:val="en-GB"/>
              </w:rPr>
              <w:t>45.0 billion</w:t>
            </w:r>
          </w:p>
        </w:tc>
        <w:tc>
          <w:tcPr>
            <w:tcW w:w="1432" w:type="pct"/>
            <w:vAlign w:val="center"/>
          </w:tcPr>
          <w:p w14:paraId="2D9716B0" w14:textId="74843D4B" w:rsidR="00502D3A" w:rsidRPr="0095158F" w:rsidRDefault="00F72159" w:rsidP="0026372E">
            <w:pPr>
              <w:pStyle w:val="woa-table-text"/>
              <w:rPr>
                <w:color w:val="auto"/>
                <w:sz w:val="16"/>
                <w:szCs w:val="14"/>
                <w:lang w:val="en-GB"/>
              </w:rPr>
            </w:pPr>
            <w:r w:rsidRPr="0095158F">
              <w:rPr>
                <w:color w:val="auto"/>
                <w:sz w:val="16"/>
                <w:szCs w:val="14"/>
                <w:lang w:val="en-GB"/>
              </w:rPr>
              <w:t>€</w:t>
            </w:r>
            <w:r w:rsidR="00502D3A" w:rsidRPr="0095158F">
              <w:rPr>
                <w:color w:val="auto"/>
                <w:sz w:val="16"/>
                <w:szCs w:val="14"/>
                <w:lang w:val="en-GB"/>
              </w:rPr>
              <w:t>41.4 billion</w:t>
            </w:r>
          </w:p>
        </w:tc>
        <w:tc>
          <w:tcPr>
            <w:tcW w:w="1180" w:type="pct"/>
            <w:vAlign w:val="center"/>
          </w:tcPr>
          <w:p w14:paraId="184E1B9B" w14:textId="5D79137E" w:rsidR="00502D3A" w:rsidRPr="0095158F" w:rsidRDefault="00502D3A" w:rsidP="0026372E">
            <w:pPr>
              <w:pStyle w:val="woa-table-text"/>
              <w:rPr>
                <w:color w:val="auto"/>
                <w:sz w:val="16"/>
                <w:szCs w:val="14"/>
                <w:lang w:val="en-GB"/>
              </w:rPr>
            </w:pPr>
            <w:r w:rsidRPr="0095158F">
              <w:rPr>
                <w:color w:val="auto"/>
                <w:sz w:val="16"/>
                <w:szCs w:val="14"/>
                <w:lang w:val="en-GB"/>
              </w:rPr>
              <w:t>Germany (</w:t>
            </w:r>
            <w:r w:rsidR="00F72159" w:rsidRPr="0095158F">
              <w:rPr>
                <w:color w:val="auto"/>
                <w:sz w:val="16"/>
                <w:szCs w:val="14"/>
                <w:lang w:val="en-GB"/>
              </w:rPr>
              <w:t>€</w:t>
            </w:r>
            <w:r w:rsidRPr="0095158F">
              <w:rPr>
                <w:color w:val="auto"/>
                <w:sz w:val="16"/>
                <w:szCs w:val="14"/>
                <w:lang w:val="en-GB"/>
              </w:rPr>
              <w:t>11'970 million)</w:t>
            </w:r>
            <w:r w:rsidRPr="0095158F">
              <w:rPr>
                <w:color w:val="auto"/>
                <w:sz w:val="16"/>
                <w:szCs w:val="14"/>
                <w:lang w:val="en-GB"/>
              </w:rPr>
              <w:br/>
              <w:t>France (</w:t>
            </w:r>
            <w:r w:rsidR="00F72159" w:rsidRPr="0095158F">
              <w:rPr>
                <w:color w:val="auto"/>
                <w:sz w:val="16"/>
                <w:szCs w:val="14"/>
                <w:lang w:val="en-GB"/>
              </w:rPr>
              <w:t>€</w:t>
            </w:r>
            <w:r w:rsidRPr="0095158F">
              <w:rPr>
                <w:color w:val="auto"/>
                <w:sz w:val="16"/>
                <w:szCs w:val="14"/>
                <w:lang w:val="en-GB"/>
              </w:rPr>
              <w:t>11'295 million)</w:t>
            </w:r>
            <w:r w:rsidRPr="0095158F">
              <w:rPr>
                <w:color w:val="auto"/>
                <w:sz w:val="16"/>
                <w:szCs w:val="14"/>
                <w:lang w:val="en-GB"/>
              </w:rPr>
              <w:br/>
              <w:t>Italy (</w:t>
            </w:r>
            <w:r w:rsidR="00F72159" w:rsidRPr="0095158F">
              <w:rPr>
                <w:color w:val="auto"/>
                <w:sz w:val="16"/>
                <w:szCs w:val="14"/>
                <w:lang w:val="en-GB"/>
              </w:rPr>
              <w:t>€</w:t>
            </w:r>
            <w:r w:rsidRPr="0095158F">
              <w:rPr>
                <w:color w:val="auto"/>
                <w:sz w:val="16"/>
                <w:szCs w:val="14"/>
                <w:lang w:val="en-GB"/>
              </w:rPr>
              <w:t>3'625 million)</w:t>
            </w:r>
          </w:p>
        </w:tc>
      </w:tr>
      <w:tr w:rsidR="00502D3A" w:rsidRPr="003E6FEB" w14:paraId="7F0B2EA4" w14:textId="77777777" w:rsidTr="0098492F">
        <w:trPr>
          <w:cnfStyle w:val="000000100000" w:firstRow="0" w:lastRow="0" w:firstColumn="0" w:lastColumn="0" w:oddVBand="0" w:evenVBand="0" w:oddHBand="1" w:evenHBand="0" w:firstRowFirstColumn="0" w:firstRowLastColumn="0" w:lastRowFirstColumn="0" w:lastRowLastColumn="0"/>
          <w:trHeight w:val="206"/>
        </w:trPr>
        <w:tc>
          <w:tcPr>
            <w:tcW w:w="955" w:type="pct"/>
            <w:vAlign w:val="center"/>
          </w:tcPr>
          <w:p w14:paraId="3379BC3B" w14:textId="77777777" w:rsidR="00502D3A" w:rsidRPr="0095158F" w:rsidRDefault="00502D3A" w:rsidP="0026372E">
            <w:pPr>
              <w:pStyle w:val="woa-table-text"/>
              <w:rPr>
                <w:b/>
                <w:color w:val="auto"/>
                <w:sz w:val="16"/>
                <w:szCs w:val="14"/>
                <w:lang w:val="en-GB"/>
              </w:rPr>
            </w:pPr>
            <w:r w:rsidRPr="0095158F">
              <w:rPr>
                <w:b/>
                <w:color w:val="auto"/>
                <w:sz w:val="16"/>
                <w:szCs w:val="14"/>
                <w:lang w:val="en-GB"/>
              </w:rPr>
              <w:t>Growth of retail sales 2018-2019</w:t>
            </w:r>
          </w:p>
        </w:tc>
        <w:tc>
          <w:tcPr>
            <w:tcW w:w="1432" w:type="pct"/>
            <w:vAlign w:val="center"/>
          </w:tcPr>
          <w:p w14:paraId="6036FE3F" w14:textId="77777777" w:rsidR="00502D3A" w:rsidRPr="0095158F" w:rsidRDefault="00502D3A" w:rsidP="0026372E">
            <w:pPr>
              <w:pStyle w:val="woa-table-text"/>
              <w:rPr>
                <w:color w:val="auto"/>
                <w:sz w:val="16"/>
                <w:szCs w:val="14"/>
                <w:lang w:val="en-GB"/>
              </w:rPr>
            </w:pPr>
            <w:r w:rsidRPr="0095158F">
              <w:rPr>
                <w:color w:val="auto"/>
                <w:sz w:val="16"/>
                <w:szCs w:val="14"/>
                <w:lang w:val="en-GB"/>
              </w:rPr>
              <w:t>8.0%</w:t>
            </w:r>
          </w:p>
        </w:tc>
        <w:tc>
          <w:tcPr>
            <w:tcW w:w="1432" w:type="pct"/>
            <w:vAlign w:val="center"/>
          </w:tcPr>
          <w:p w14:paraId="38C4966C" w14:textId="77777777" w:rsidR="00502D3A" w:rsidRPr="0095158F" w:rsidRDefault="00502D3A" w:rsidP="0026372E">
            <w:pPr>
              <w:pStyle w:val="woa-table-text"/>
              <w:rPr>
                <w:color w:val="auto"/>
                <w:sz w:val="16"/>
                <w:szCs w:val="14"/>
                <w:lang w:val="en-GB"/>
              </w:rPr>
            </w:pPr>
            <w:r w:rsidRPr="0095158F">
              <w:rPr>
                <w:color w:val="auto"/>
                <w:sz w:val="16"/>
                <w:szCs w:val="14"/>
                <w:lang w:val="en-GB"/>
              </w:rPr>
              <w:t>8.0%</w:t>
            </w:r>
          </w:p>
        </w:tc>
        <w:tc>
          <w:tcPr>
            <w:tcW w:w="1180" w:type="pct"/>
            <w:vAlign w:val="center"/>
          </w:tcPr>
          <w:p w14:paraId="68CB7769" w14:textId="2CD3B74F" w:rsidR="00502D3A" w:rsidRPr="0095158F" w:rsidRDefault="00D30DE7" w:rsidP="0026372E">
            <w:pPr>
              <w:pStyle w:val="woa-table-text"/>
              <w:rPr>
                <w:color w:val="auto"/>
                <w:sz w:val="16"/>
                <w:szCs w:val="14"/>
                <w:lang w:val="en-GB"/>
              </w:rPr>
            </w:pPr>
            <w:r w:rsidRPr="00EC40A3">
              <w:rPr>
                <w:color w:val="auto"/>
                <w:sz w:val="16"/>
                <w:szCs w:val="14"/>
                <w:lang w:val="en-GB"/>
              </w:rPr>
              <w:t>France (</w:t>
            </w:r>
            <w:r>
              <w:rPr>
                <w:color w:val="auto"/>
                <w:sz w:val="16"/>
                <w:szCs w:val="14"/>
                <w:lang w:val="en-GB"/>
              </w:rPr>
              <w:t>13.4</w:t>
            </w:r>
            <w:r w:rsidRPr="00EC40A3">
              <w:rPr>
                <w:color w:val="auto"/>
                <w:sz w:val="16"/>
                <w:szCs w:val="14"/>
                <w:lang w:val="en-GB"/>
              </w:rPr>
              <w:t>%)</w:t>
            </w:r>
            <w:r>
              <w:rPr>
                <w:color w:val="auto"/>
                <w:sz w:val="16"/>
                <w:szCs w:val="14"/>
                <w:lang w:val="en-GB"/>
              </w:rPr>
              <w:br/>
            </w:r>
            <w:r w:rsidR="00502D3A" w:rsidRPr="0095158F">
              <w:rPr>
                <w:color w:val="auto"/>
                <w:sz w:val="16"/>
                <w:szCs w:val="14"/>
                <w:lang w:val="en-GB"/>
              </w:rPr>
              <w:t>Estonia (13.2%)</w:t>
            </w:r>
          </w:p>
          <w:p w14:paraId="60B0F09A" w14:textId="153D6329" w:rsidR="00502D3A" w:rsidRPr="0095158F" w:rsidRDefault="00502D3A" w:rsidP="0026372E">
            <w:pPr>
              <w:pStyle w:val="woa-table-text"/>
              <w:rPr>
                <w:color w:val="auto"/>
                <w:sz w:val="16"/>
                <w:szCs w:val="14"/>
                <w:lang w:val="en-GB"/>
              </w:rPr>
            </w:pPr>
            <w:r w:rsidRPr="0095158F">
              <w:rPr>
                <w:color w:val="auto"/>
                <w:sz w:val="16"/>
                <w:szCs w:val="14"/>
                <w:lang w:val="en-GB"/>
              </w:rPr>
              <w:t>Belgium (10.4%)</w:t>
            </w:r>
          </w:p>
        </w:tc>
      </w:tr>
      <w:tr w:rsidR="00502D3A" w:rsidRPr="003E6FEB" w14:paraId="7F97AC20" w14:textId="77777777" w:rsidTr="0098492F">
        <w:trPr>
          <w:cnfStyle w:val="000000010000" w:firstRow="0" w:lastRow="0" w:firstColumn="0" w:lastColumn="0" w:oddVBand="0" w:evenVBand="0" w:oddHBand="0" w:evenHBand="1" w:firstRowFirstColumn="0" w:firstRowLastColumn="0" w:lastRowFirstColumn="0" w:lastRowLastColumn="0"/>
          <w:trHeight w:val="206"/>
        </w:trPr>
        <w:tc>
          <w:tcPr>
            <w:tcW w:w="955" w:type="pct"/>
            <w:vAlign w:val="center"/>
          </w:tcPr>
          <w:p w14:paraId="6B093C97" w14:textId="77777777" w:rsidR="00502D3A" w:rsidRPr="0095158F" w:rsidRDefault="00502D3A" w:rsidP="0026372E">
            <w:pPr>
              <w:pStyle w:val="woa-table-text"/>
              <w:rPr>
                <w:b/>
                <w:color w:val="auto"/>
                <w:sz w:val="16"/>
                <w:szCs w:val="14"/>
                <w:lang w:val="en-GB"/>
              </w:rPr>
            </w:pPr>
            <w:r w:rsidRPr="0095158F">
              <w:rPr>
                <w:b/>
                <w:color w:val="auto"/>
                <w:sz w:val="16"/>
                <w:szCs w:val="14"/>
                <w:lang w:val="en-GB"/>
              </w:rPr>
              <w:t>Organic share of total market</w:t>
            </w:r>
          </w:p>
        </w:tc>
        <w:tc>
          <w:tcPr>
            <w:tcW w:w="1432" w:type="pct"/>
            <w:vAlign w:val="center"/>
          </w:tcPr>
          <w:p w14:paraId="5C66662A" w14:textId="77777777" w:rsidR="00502D3A" w:rsidRPr="0095158F" w:rsidRDefault="00502D3A" w:rsidP="0026372E">
            <w:pPr>
              <w:pStyle w:val="woa-table-text"/>
              <w:rPr>
                <w:color w:val="auto"/>
                <w:sz w:val="16"/>
                <w:szCs w:val="14"/>
                <w:lang w:val="en-GB"/>
              </w:rPr>
            </w:pPr>
            <w:r w:rsidRPr="0095158F">
              <w:rPr>
                <w:color w:val="auto"/>
                <w:sz w:val="16"/>
                <w:szCs w:val="14"/>
                <w:lang w:val="en-GB"/>
              </w:rPr>
              <w:t>No data</w:t>
            </w:r>
          </w:p>
        </w:tc>
        <w:tc>
          <w:tcPr>
            <w:tcW w:w="1432" w:type="pct"/>
            <w:vAlign w:val="center"/>
          </w:tcPr>
          <w:p w14:paraId="5F6A3618" w14:textId="77777777" w:rsidR="00502D3A" w:rsidRPr="0095158F" w:rsidRDefault="00502D3A" w:rsidP="0026372E">
            <w:pPr>
              <w:pStyle w:val="woa-table-text"/>
              <w:rPr>
                <w:color w:val="auto"/>
                <w:sz w:val="16"/>
                <w:szCs w:val="14"/>
                <w:lang w:val="en-GB"/>
              </w:rPr>
            </w:pPr>
            <w:r w:rsidRPr="0095158F">
              <w:rPr>
                <w:color w:val="auto"/>
                <w:sz w:val="16"/>
                <w:szCs w:val="14"/>
                <w:lang w:val="en-GB"/>
              </w:rPr>
              <w:t>No data</w:t>
            </w:r>
          </w:p>
        </w:tc>
        <w:tc>
          <w:tcPr>
            <w:tcW w:w="1180" w:type="pct"/>
            <w:vAlign w:val="center"/>
          </w:tcPr>
          <w:p w14:paraId="08AA1296" w14:textId="77777777" w:rsidR="00502D3A" w:rsidRPr="0095158F" w:rsidRDefault="00502D3A" w:rsidP="0026372E">
            <w:pPr>
              <w:pStyle w:val="woa-table-text"/>
              <w:rPr>
                <w:color w:val="auto"/>
                <w:sz w:val="16"/>
                <w:szCs w:val="14"/>
                <w:lang w:val="en-GB"/>
              </w:rPr>
            </w:pPr>
            <w:r w:rsidRPr="0095158F">
              <w:rPr>
                <w:color w:val="auto"/>
                <w:sz w:val="16"/>
                <w:szCs w:val="14"/>
                <w:lang w:val="en-GB"/>
              </w:rPr>
              <w:t>Denmark (12.1 %)</w:t>
            </w:r>
            <w:r w:rsidRPr="0095158F">
              <w:rPr>
                <w:color w:val="auto"/>
                <w:sz w:val="16"/>
                <w:szCs w:val="14"/>
                <w:lang w:val="en-GB"/>
              </w:rPr>
              <w:br/>
              <w:t>Switzerland (10.4 %)</w:t>
            </w:r>
            <w:r w:rsidRPr="0095158F">
              <w:rPr>
                <w:color w:val="auto"/>
                <w:sz w:val="16"/>
                <w:szCs w:val="14"/>
                <w:lang w:val="en-GB"/>
              </w:rPr>
              <w:br/>
              <w:t>Austria (9.3 %)</w:t>
            </w:r>
          </w:p>
        </w:tc>
      </w:tr>
      <w:tr w:rsidR="00502D3A" w:rsidRPr="003E6FEB" w14:paraId="29A48446" w14:textId="77777777" w:rsidTr="0098492F">
        <w:trPr>
          <w:cnfStyle w:val="000000100000" w:firstRow="0" w:lastRow="0" w:firstColumn="0" w:lastColumn="0" w:oddVBand="0" w:evenVBand="0" w:oddHBand="1" w:evenHBand="0" w:firstRowFirstColumn="0" w:firstRowLastColumn="0" w:lastRowFirstColumn="0" w:lastRowLastColumn="0"/>
          <w:trHeight w:val="206"/>
        </w:trPr>
        <w:tc>
          <w:tcPr>
            <w:tcW w:w="955" w:type="pct"/>
            <w:vAlign w:val="center"/>
          </w:tcPr>
          <w:p w14:paraId="78B34B32" w14:textId="77777777" w:rsidR="00502D3A" w:rsidRPr="0095158F" w:rsidRDefault="00502D3A" w:rsidP="0026372E">
            <w:pPr>
              <w:pStyle w:val="woa-table-text"/>
              <w:rPr>
                <w:b/>
                <w:color w:val="auto"/>
                <w:sz w:val="16"/>
                <w:szCs w:val="14"/>
                <w:lang w:val="en-GB"/>
              </w:rPr>
            </w:pPr>
            <w:r w:rsidRPr="0095158F">
              <w:rPr>
                <w:b/>
                <w:color w:val="auto"/>
                <w:sz w:val="16"/>
                <w:szCs w:val="14"/>
                <w:lang w:val="en-GB"/>
              </w:rPr>
              <w:t xml:space="preserve">Per capita consumption </w:t>
            </w:r>
          </w:p>
        </w:tc>
        <w:tc>
          <w:tcPr>
            <w:tcW w:w="1432" w:type="pct"/>
            <w:vAlign w:val="center"/>
          </w:tcPr>
          <w:p w14:paraId="1158BBDF" w14:textId="21757C56" w:rsidR="00502D3A" w:rsidRPr="0095158F" w:rsidRDefault="00060310" w:rsidP="0026372E">
            <w:pPr>
              <w:pStyle w:val="woa-table-text"/>
              <w:rPr>
                <w:color w:val="auto"/>
                <w:sz w:val="16"/>
                <w:szCs w:val="14"/>
                <w:lang w:val="en-GB"/>
              </w:rPr>
            </w:pPr>
            <w:r w:rsidRPr="0095158F">
              <w:rPr>
                <w:color w:val="auto"/>
                <w:sz w:val="16"/>
                <w:szCs w:val="14"/>
                <w:lang w:val="en-GB"/>
              </w:rPr>
              <w:t>€</w:t>
            </w:r>
            <w:r w:rsidR="00502D3A" w:rsidRPr="0095158F">
              <w:rPr>
                <w:color w:val="auto"/>
                <w:sz w:val="16"/>
                <w:szCs w:val="14"/>
                <w:lang w:val="en-GB"/>
              </w:rPr>
              <w:t>56</w:t>
            </w:r>
          </w:p>
        </w:tc>
        <w:tc>
          <w:tcPr>
            <w:tcW w:w="1432" w:type="pct"/>
            <w:vAlign w:val="center"/>
          </w:tcPr>
          <w:p w14:paraId="142C137C" w14:textId="47D543BF" w:rsidR="00502D3A" w:rsidRPr="0095158F" w:rsidRDefault="00060310" w:rsidP="0026372E">
            <w:pPr>
              <w:pStyle w:val="woa-table-text"/>
              <w:rPr>
                <w:color w:val="auto"/>
                <w:sz w:val="16"/>
                <w:szCs w:val="14"/>
                <w:lang w:val="en-GB"/>
              </w:rPr>
            </w:pPr>
            <w:r w:rsidRPr="0095158F">
              <w:rPr>
                <w:color w:val="auto"/>
                <w:sz w:val="16"/>
                <w:szCs w:val="14"/>
                <w:lang w:val="en-GB"/>
              </w:rPr>
              <w:t>€</w:t>
            </w:r>
            <w:r w:rsidR="00502D3A" w:rsidRPr="0095158F">
              <w:rPr>
                <w:color w:val="auto"/>
                <w:sz w:val="16"/>
                <w:szCs w:val="14"/>
                <w:lang w:val="en-GB"/>
              </w:rPr>
              <w:t>84</w:t>
            </w:r>
          </w:p>
        </w:tc>
        <w:tc>
          <w:tcPr>
            <w:tcW w:w="1180" w:type="pct"/>
            <w:vAlign w:val="center"/>
          </w:tcPr>
          <w:p w14:paraId="3608EC17" w14:textId="63BE544C" w:rsidR="00060310" w:rsidRPr="0095158F" w:rsidRDefault="00502D3A" w:rsidP="0026372E">
            <w:pPr>
              <w:pStyle w:val="woa-table-text"/>
              <w:rPr>
                <w:color w:val="auto"/>
                <w:sz w:val="16"/>
                <w:szCs w:val="14"/>
                <w:lang w:val="en-GB"/>
              </w:rPr>
            </w:pPr>
            <w:r w:rsidRPr="0095158F">
              <w:rPr>
                <w:color w:val="auto"/>
                <w:sz w:val="16"/>
                <w:szCs w:val="14"/>
                <w:lang w:val="en-GB"/>
              </w:rPr>
              <w:t>Denmark (</w:t>
            </w:r>
            <w:r w:rsidR="00F72159" w:rsidRPr="0095158F">
              <w:rPr>
                <w:color w:val="auto"/>
                <w:sz w:val="16"/>
                <w:szCs w:val="14"/>
                <w:lang w:val="en-GB"/>
              </w:rPr>
              <w:t>€</w:t>
            </w:r>
            <w:r w:rsidRPr="0095158F">
              <w:rPr>
                <w:color w:val="auto"/>
                <w:sz w:val="16"/>
                <w:szCs w:val="14"/>
                <w:lang w:val="en-GB"/>
              </w:rPr>
              <w:t>344)</w:t>
            </w:r>
          </w:p>
          <w:p w14:paraId="79F43BBC" w14:textId="63F9CAB2" w:rsidR="00502D3A" w:rsidRPr="0095158F" w:rsidRDefault="00502D3A" w:rsidP="0026372E">
            <w:pPr>
              <w:pStyle w:val="woa-table-text"/>
              <w:rPr>
                <w:color w:val="auto"/>
                <w:sz w:val="16"/>
                <w:szCs w:val="14"/>
                <w:lang w:val="en-GB"/>
              </w:rPr>
            </w:pPr>
            <w:r w:rsidRPr="0095158F">
              <w:rPr>
                <w:color w:val="auto"/>
                <w:sz w:val="16"/>
                <w:szCs w:val="14"/>
                <w:lang w:val="en-GB"/>
              </w:rPr>
              <w:t>Switzerland (</w:t>
            </w:r>
            <w:r w:rsidR="00060310" w:rsidRPr="0095158F">
              <w:rPr>
                <w:color w:val="auto"/>
                <w:sz w:val="16"/>
                <w:szCs w:val="14"/>
                <w:lang w:val="en-GB"/>
              </w:rPr>
              <w:t>€</w:t>
            </w:r>
            <w:r w:rsidRPr="0095158F">
              <w:rPr>
                <w:color w:val="auto"/>
                <w:sz w:val="16"/>
                <w:szCs w:val="14"/>
                <w:lang w:val="en-GB"/>
              </w:rPr>
              <w:t>338)</w:t>
            </w:r>
            <w:r w:rsidRPr="0095158F">
              <w:rPr>
                <w:color w:val="auto"/>
                <w:sz w:val="16"/>
                <w:szCs w:val="14"/>
                <w:lang w:val="en-GB"/>
              </w:rPr>
              <w:br/>
              <w:t>Luxembourg (</w:t>
            </w:r>
            <w:r w:rsidR="00060310" w:rsidRPr="0095158F">
              <w:rPr>
                <w:color w:val="auto"/>
                <w:sz w:val="16"/>
                <w:szCs w:val="14"/>
                <w:lang w:val="en-GB"/>
              </w:rPr>
              <w:t>€</w:t>
            </w:r>
            <w:r w:rsidRPr="0095158F">
              <w:rPr>
                <w:color w:val="auto"/>
                <w:sz w:val="16"/>
                <w:szCs w:val="14"/>
                <w:lang w:val="en-GB"/>
              </w:rPr>
              <w:t>265)</w:t>
            </w:r>
          </w:p>
        </w:tc>
      </w:tr>
    </w:tbl>
    <w:p w14:paraId="47DB8C01" w14:textId="77777777" w:rsidR="00502D3A" w:rsidRPr="002346DF" w:rsidRDefault="00502D3A" w:rsidP="00AE285D">
      <w:pPr>
        <w:pStyle w:val="FiBLmrreferences"/>
        <w:rPr>
          <w:rFonts w:ascii="Gill Sans MT" w:hAnsi="Gill Sans MT"/>
          <w:lang w:val="de-CH"/>
        </w:rPr>
      </w:pPr>
    </w:p>
    <w:p w14:paraId="79A23968" w14:textId="50CAD610" w:rsidR="0029632A" w:rsidRPr="00607310" w:rsidRDefault="00607310" w:rsidP="00AE285D">
      <w:pPr>
        <w:pStyle w:val="FiBLmrreferences"/>
        <w:rPr>
          <w:rFonts w:ascii="Gill Sans MT" w:hAnsi="Gill Sans MT"/>
        </w:rPr>
      </w:pPr>
      <w:r>
        <w:rPr>
          <w:rFonts w:ascii="Gill Sans MT" w:hAnsi="Gill Sans MT"/>
        </w:rPr>
        <w:t>Source: FiBL-AMI survey 202</w:t>
      </w:r>
      <w:r w:rsidR="00502D3A">
        <w:rPr>
          <w:rFonts w:ascii="Gill Sans MT" w:hAnsi="Gill Sans MT"/>
        </w:rPr>
        <w:t>1</w:t>
      </w:r>
    </w:p>
    <w:p w14:paraId="1EDB1E09" w14:textId="0925D507" w:rsidR="00566983" w:rsidRDefault="00607310" w:rsidP="00566983">
      <w:pPr>
        <w:pStyle w:val="FiBLmrstandard"/>
      </w:pPr>
      <w:r>
        <w:t xml:space="preserve"> </w:t>
      </w:r>
    </w:p>
    <w:p w14:paraId="4F402FD7" w14:textId="6F9AB3BD" w:rsidR="00607310" w:rsidRPr="00F64C94" w:rsidRDefault="00FF7D28" w:rsidP="00566983">
      <w:pPr>
        <w:pStyle w:val="FiBLmrstandard"/>
      </w:pPr>
      <w:r w:rsidRPr="00FF7D28">
        <w:rPr>
          <w:rFonts w:asciiTheme="minorHAnsi" w:hAnsiTheme="minorHAnsi"/>
          <w:noProof/>
          <w:lang w:val="de-CH" w:eastAsia="de-CH"/>
        </w:rPr>
        <w:lastRenderedPageBreak/>
        <w:drawing>
          <wp:inline distT="0" distB="0" distL="0" distR="0" wp14:anchorId="74599F43" wp14:editId="4EE9EE47">
            <wp:extent cx="6650963" cy="5004000"/>
            <wp:effectExtent l="4128" t="0" r="2222" b="2223"/>
            <wp:docPr id="9" name="Grafik 9" descr="Q:\Oekonomie\Projekte-(laufend)\INT-VSS-60073-01\World-of-Organic\WORLD-OF-ORGANIC-2021\6_Infographics\Adobe_InDesign_infographics\EN_2021\World_of_Organic_Agriculture_Infographics_EN_2021_Euro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Oekonomie\Projekte-(laufend)\INT-VSS-60073-01\World-of-Organic\WORLD-OF-ORGANIC-2021\6_Infographics\Adobe_InDesign_infographics\EN_2021\World_of_Organic_Agriculture_Infographics_EN_2021_Europe.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16200000">
                      <a:off x="0" y="0"/>
                      <a:ext cx="6650963" cy="5004000"/>
                    </a:xfrm>
                    <a:prstGeom prst="rect">
                      <a:avLst/>
                    </a:prstGeom>
                    <a:noFill/>
                    <a:ln>
                      <a:noFill/>
                    </a:ln>
                  </pic:spPr>
                </pic:pic>
              </a:graphicData>
            </a:graphic>
          </wp:inline>
        </w:drawing>
      </w:r>
      <w:r w:rsidRPr="00FF7D28">
        <w:rPr>
          <w:rFonts w:asciiTheme="minorHAnsi" w:hAnsiTheme="minorHAnsi"/>
          <w:noProof/>
          <w:lang w:val="de-CH" w:eastAsia="de-CH"/>
        </w:rPr>
        <w:t xml:space="preserve"> </w:t>
      </w:r>
      <w:r w:rsidRPr="00FF7D28">
        <w:rPr>
          <w:noProof/>
          <w:lang w:val="de-CH" w:eastAsia="de-CH"/>
        </w:rPr>
        <w:lastRenderedPageBreak/>
        <w:drawing>
          <wp:inline distT="0" distB="0" distL="0" distR="0" wp14:anchorId="52BBF87C" wp14:editId="7DC1E489">
            <wp:extent cx="6644112" cy="4999491"/>
            <wp:effectExtent l="3175" t="0" r="7620" b="7620"/>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rot="16200000">
                      <a:off x="0" y="0"/>
                      <a:ext cx="6653665" cy="5006679"/>
                    </a:xfrm>
                    <a:prstGeom prst="rect">
                      <a:avLst/>
                    </a:prstGeom>
                  </pic:spPr>
                </pic:pic>
              </a:graphicData>
            </a:graphic>
          </wp:inline>
        </w:drawing>
      </w:r>
    </w:p>
    <w:p w14:paraId="571BF8F7" w14:textId="2050A69B" w:rsidR="00DD4377" w:rsidRPr="00F64C94" w:rsidRDefault="00DD4377" w:rsidP="00EB6B1C">
      <w:pPr>
        <w:pStyle w:val="FiBLmrstandard"/>
      </w:pPr>
    </w:p>
    <w:p w14:paraId="75527CC3" w14:textId="36EAA02C" w:rsidR="00566983" w:rsidRPr="00F64C94" w:rsidRDefault="001B34C5" w:rsidP="00EB6B1C">
      <w:pPr>
        <w:pStyle w:val="FiBLmrstandard"/>
      </w:pPr>
      <w:r>
        <w:rPr>
          <w:noProof/>
          <w:color w:val="2B579A"/>
          <w:shd w:val="clear" w:color="auto" w:fill="E6E6E6"/>
          <w:lang w:val="de-CH" w:eastAsia="de-CH"/>
        </w:rPr>
        <w:lastRenderedPageBreak/>
        <w:drawing>
          <wp:inline distT="0" distB="0" distL="0" distR="0" wp14:anchorId="620F8F80" wp14:editId="19FAB5D9">
            <wp:extent cx="5219999" cy="3915000"/>
            <wp:effectExtent l="0" t="0" r="0" b="952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26">
                      <a:extLst>
                        <a:ext uri="{28A0092B-C50C-407E-A947-70E740481C1C}">
                          <a14:useLocalDpi xmlns:a14="http://schemas.microsoft.com/office/drawing/2010/main" val="0"/>
                        </a:ext>
                      </a:extLst>
                    </a:blip>
                    <a:stretch>
                      <a:fillRect/>
                    </a:stretch>
                  </pic:blipFill>
                  <pic:spPr>
                    <a:xfrm>
                      <a:off x="0" y="0"/>
                      <a:ext cx="5219999" cy="3915000"/>
                    </a:xfrm>
                    <a:prstGeom prst="rect">
                      <a:avLst/>
                    </a:prstGeom>
                  </pic:spPr>
                </pic:pic>
              </a:graphicData>
            </a:graphic>
          </wp:inline>
        </w:drawing>
      </w:r>
    </w:p>
    <w:p w14:paraId="78893228" w14:textId="6F96E575" w:rsidR="00566983" w:rsidRPr="00DF2620" w:rsidRDefault="001B34C5" w:rsidP="00EB6B1C">
      <w:pPr>
        <w:pStyle w:val="FiBLmrstandard"/>
      </w:pPr>
      <w:r>
        <w:rPr>
          <w:noProof/>
          <w:color w:val="2B579A"/>
          <w:shd w:val="clear" w:color="auto" w:fill="E6E6E6"/>
          <w:lang w:val="de-CH" w:eastAsia="de-CH"/>
        </w:rPr>
        <w:drawing>
          <wp:inline distT="0" distB="0" distL="0" distR="0" wp14:anchorId="0AEDB60A" wp14:editId="1185516B">
            <wp:extent cx="5219999" cy="3915000"/>
            <wp:effectExtent l="0" t="0" r="0" b="952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7">
                      <a:extLst>
                        <a:ext uri="{28A0092B-C50C-407E-A947-70E740481C1C}">
                          <a14:useLocalDpi xmlns:a14="http://schemas.microsoft.com/office/drawing/2010/main" val="0"/>
                        </a:ext>
                      </a:extLst>
                    </a:blip>
                    <a:stretch>
                      <a:fillRect/>
                    </a:stretch>
                  </pic:blipFill>
                  <pic:spPr>
                    <a:xfrm>
                      <a:off x="0" y="0"/>
                      <a:ext cx="5219999" cy="3915000"/>
                    </a:xfrm>
                    <a:prstGeom prst="rect">
                      <a:avLst/>
                    </a:prstGeom>
                  </pic:spPr>
                </pic:pic>
              </a:graphicData>
            </a:graphic>
          </wp:inline>
        </w:drawing>
      </w:r>
    </w:p>
    <w:sectPr w:rsidR="00566983" w:rsidRPr="00DF2620" w:rsidSect="00232993">
      <w:footerReference w:type="default" r:id="rId28"/>
      <w:type w:val="continuous"/>
      <w:pgSz w:w="11906" w:h="16838"/>
      <w:pgMar w:top="2268" w:right="1701" w:bottom="1701" w:left="1701" w:header="1134"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62F1A" w16cex:dateUtc="2021-02-16T10:4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AEE25" w14:textId="77777777" w:rsidR="004C0198" w:rsidRDefault="004C0198" w:rsidP="00F53AA9">
      <w:pPr>
        <w:spacing w:after="0" w:line="240" w:lineRule="auto"/>
      </w:pPr>
      <w:r>
        <w:separator/>
      </w:r>
    </w:p>
  </w:endnote>
  <w:endnote w:type="continuationSeparator" w:id="0">
    <w:p w14:paraId="4924577C" w14:textId="77777777" w:rsidR="004C0198" w:rsidRDefault="004C0198"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BE3392" w14:paraId="677EF56F" w14:textId="77777777" w:rsidTr="00232993">
      <w:trPr>
        <w:trHeight w:val="508"/>
      </w:trPr>
      <w:tc>
        <w:tcPr>
          <w:tcW w:w="7656" w:type="dxa"/>
        </w:tcPr>
        <w:p w14:paraId="5DE87F9D" w14:textId="44386AEA" w:rsidR="008A6B50" w:rsidRDefault="00CF6598" w:rsidP="00DA14CE">
          <w:pPr>
            <w:pStyle w:val="FiBLmrfooter"/>
          </w:pPr>
          <w:r>
            <w:t>Research Institute of Organic Agriculture</w:t>
          </w:r>
          <w:r w:rsidR="00F73377" w:rsidRPr="008A6B50">
            <w:t xml:space="preserve"> </w:t>
          </w:r>
          <w:r w:rsidR="000A27DB">
            <w:t>(</w:t>
          </w:r>
          <w:r w:rsidR="00F73377" w:rsidRPr="008A6B50">
            <w:t>FiBL</w:t>
          </w:r>
          <w:r w:rsidR="000A27DB">
            <w:t>)</w:t>
          </w:r>
          <w:r w:rsidR="00F73377" w:rsidRPr="008A6B50">
            <w:t xml:space="preserve"> | </w:t>
          </w:r>
          <w:proofErr w:type="spellStart"/>
          <w:r w:rsidR="00F73377" w:rsidRPr="008A6B50">
            <w:t>Ackerstrasse</w:t>
          </w:r>
          <w:proofErr w:type="spellEnd"/>
          <w:r w:rsidR="00F73377" w:rsidRPr="008A6B50">
            <w:t xml:space="preserve"> 113 | </w:t>
          </w:r>
          <w:proofErr w:type="spellStart"/>
          <w:r w:rsidR="00F73377" w:rsidRPr="008A6B50">
            <w:t>Postfach</w:t>
          </w:r>
          <w:proofErr w:type="spellEnd"/>
          <w:r w:rsidR="00F73377" w:rsidRPr="008A6B50">
            <w:t xml:space="preserve"> 219 </w:t>
          </w:r>
        </w:p>
        <w:p w14:paraId="3B747FFA" w14:textId="77777777" w:rsidR="00F73377" w:rsidRPr="008A6B50" w:rsidRDefault="00F73377" w:rsidP="00CF6598">
          <w:pPr>
            <w:pStyle w:val="FiBLmrfooter"/>
          </w:pPr>
          <w:r w:rsidRPr="008A6B50">
            <w:t xml:space="preserve">5070 Frick | </w:t>
          </w:r>
          <w:r w:rsidR="00CF6598">
            <w:t>Switzerland</w:t>
          </w:r>
          <w:r w:rsidR="00CF6598" w:rsidRPr="008A6B50">
            <w:t xml:space="preserve"> | </w:t>
          </w:r>
          <w:r w:rsidR="00CF6598">
            <w:t>Phone</w:t>
          </w:r>
          <w:r w:rsidRPr="008A6B50">
            <w:t xml:space="preserve"> +41</w:t>
          </w:r>
          <w:r w:rsidR="00CF6598">
            <w:t xml:space="preserve">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14:paraId="7F5E80C5" w14:textId="77777777" w:rsidR="00F73377" w:rsidRPr="008A6B50" w:rsidRDefault="00F73377" w:rsidP="00DA14CE">
          <w:pPr>
            <w:pStyle w:val="FiBLmrpagenumber"/>
          </w:pPr>
        </w:p>
      </w:tc>
    </w:tr>
  </w:tbl>
  <w:p w14:paraId="0C9A8482" w14:textId="77777777" w:rsidR="00D142E7" w:rsidRPr="008E63F1" w:rsidRDefault="00D142E7" w:rsidP="00F73377">
    <w:pPr>
      <w:pStyle w:val="Fuzeile"/>
      <w:rPr>
        <w:lang w:val="en-C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46A2D626" w14:textId="77777777" w:rsidTr="003C1747">
      <w:trPr>
        <w:trHeight w:val="508"/>
      </w:trPr>
      <w:tc>
        <w:tcPr>
          <w:tcW w:w="4923" w:type="pct"/>
        </w:tcPr>
        <w:p w14:paraId="34D35E23" w14:textId="6CB67E46" w:rsidR="00DA14CE" w:rsidRPr="000D7A27" w:rsidRDefault="00F33F4A" w:rsidP="0008266D">
          <w:pPr>
            <w:pStyle w:val="FiBLmrfooter"/>
          </w:pPr>
          <w:r w:rsidRPr="00F33F4A">
            <w:t>Media release</w:t>
          </w:r>
          <w:r w:rsidR="003E6FEB">
            <w:t xml:space="preserve"> 17</w:t>
          </w:r>
          <w:r w:rsidRPr="00F33F4A">
            <w:t xml:space="preserve"> February </w:t>
          </w:r>
          <w:r w:rsidR="0008266D">
            <w:t>202</w:t>
          </w:r>
          <w:r w:rsidR="00502D3A">
            <w:t>1</w:t>
          </w:r>
        </w:p>
      </w:tc>
      <w:tc>
        <w:tcPr>
          <w:tcW w:w="77" w:type="pct"/>
        </w:tcPr>
        <w:p w14:paraId="2BCF314B" w14:textId="2351EA24" w:rsidR="00DA14CE" w:rsidRPr="00186F8F" w:rsidRDefault="00DA14CE">
          <w:pPr>
            <w:pStyle w:val="FiBLmrpagenumber"/>
          </w:pPr>
          <w:r w:rsidRPr="0095158F">
            <w:fldChar w:fldCharType="begin"/>
          </w:r>
          <w:r w:rsidRPr="00186F8F">
            <w:instrText xml:space="preserve"> PAGE   \* MERGEFORMAT </w:instrText>
          </w:r>
          <w:r w:rsidRPr="0095158F">
            <w:fldChar w:fldCharType="separate"/>
          </w:r>
          <w:r w:rsidR="0095158F">
            <w:rPr>
              <w:noProof/>
            </w:rPr>
            <w:t>7</w:t>
          </w:r>
          <w:r w:rsidRPr="0095158F">
            <w:fldChar w:fldCharType="end"/>
          </w:r>
        </w:p>
      </w:tc>
    </w:tr>
  </w:tbl>
  <w:p w14:paraId="6FFE49B7"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2E2FD" w14:textId="77777777" w:rsidR="004C0198" w:rsidRDefault="004C0198" w:rsidP="00F53AA9">
      <w:pPr>
        <w:spacing w:after="0" w:line="240" w:lineRule="auto"/>
      </w:pPr>
      <w:r>
        <w:separator/>
      </w:r>
    </w:p>
  </w:footnote>
  <w:footnote w:type="continuationSeparator" w:id="0">
    <w:p w14:paraId="7780AB9F" w14:textId="77777777" w:rsidR="004C0198" w:rsidRDefault="004C0198"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8910" w:type="dxa"/>
      <w:tblInd w:w="-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72"/>
      <w:gridCol w:w="3550"/>
      <w:gridCol w:w="1894"/>
      <w:gridCol w:w="1894"/>
    </w:tblGrid>
    <w:tr w:rsidR="00D0032B" w14:paraId="504C3AAD" w14:textId="082955F5" w:rsidTr="5BDF5AD8">
      <w:trPr>
        <w:trHeight w:val="599"/>
      </w:trPr>
      <w:tc>
        <w:tcPr>
          <w:tcW w:w="1572" w:type="dxa"/>
          <w:vAlign w:val="bottom"/>
        </w:tcPr>
        <w:p w14:paraId="6972A654" w14:textId="77777777" w:rsidR="00F64C94" w:rsidRPr="00C725B7" w:rsidRDefault="5BDF5AD8" w:rsidP="00F64C94">
          <w:pPr>
            <w:pStyle w:val="FiBLmrheader"/>
          </w:pPr>
          <w:bookmarkStart w:id="0" w:name="_Hlk64386221"/>
          <w:bookmarkStart w:id="1" w:name="_Hlk64386222"/>
          <w:bookmarkStart w:id="2" w:name="_Hlk64386223"/>
          <w:bookmarkStart w:id="3" w:name="_Hlk64386224"/>
          <w:r>
            <w:rPr>
              <w:noProof/>
              <w:color w:val="2B579A"/>
              <w:shd w:val="clear" w:color="auto" w:fill="E6E6E6"/>
              <w:lang w:val="de-CH" w:eastAsia="de-CH"/>
            </w:rPr>
            <w:drawing>
              <wp:anchor distT="0" distB="0" distL="114300" distR="114300" simplePos="0" relativeHeight="251659264" behindDoc="0" locked="0" layoutInCell="1" allowOverlap="1" wp14:anchorId="21FBC3E6" wp14:editId="2E4B0DFC">
                <wp:simplePos x="0" y="0"/>
                <wp:positionH relativeFrom="column">
                  <wp:posOffset>-3175</wp:posOffset>
                </wp:positionH>
                <wp:positionV relativeFrom="paragraph">
                  <wp:posOffset>213360</wp:posOffset>
                </wp:positionV>
                <wp:extent cx="1024377" cy="428774"/>
                <wp:effectExtent l="0" t="0" r="4445" b="952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pic:nvPicPr>
                      <pic:blipFill>
                        <a:blip r:embed="rId1">
                          <a:extLst>
                            <a:ext uri="{28A0092B-C50C-407E-A947-70E740481C1C}">
                              <a14:useLocalDpi xmlns:a14="http://schemas.microsoft.com/office/drawing/2010/main" val="0"/>
                            </a:ext>
                          </a:extLst>
                        </a:blip>
                        <a:stretch>
                          <a:fillRect/>
                        </a:stretch>
                      </pic:blipFill>
                      <pic:spPr>
                        <a:xfrm>
                          <a:off x="0" y="0"/>
                          <a:ext cx="1024377" cy="428774"/>
                        </a:xfrm>
                        <a:prstGeom prst="rect">
                          <a:avLst/>
                        </a:prstGeom>
                      </pic:spPr>
                    </pic:pic>
                  </a:graphicData>
                </a:graphic>
              </wp:anchor>
            </w:drawing>
          </w:r>
          <w:r>
            <w:t xml:space="preserve"> </w:t>
          </w:r>
        </w:p>
      </w:tc>
      <w:tc>
        <w:tcPr>
          <w:tcW w:w="3550" w:type="dxa"/>
          <w:vAlign w:val="bottom"/>
        </w:tcPr>
        <w:p w14:paraId="6E63DE6C" w14:textId="3F64700E" w:rsidR="00F64C94" w:rsidRDefault="00FF19E2" w:rsidP="00F64C94">
          <w:pPr>
            <w:tabs>
              <w:tab w:val="right" w:pos="7653"/>
            </w:tabs>
          </w:pPr>
          <w:r>
            <w:rPr>
              <w:noProof/>
              <w:color w:val="2B579A"/>
              <w:shd w:val="clear" w:color="auto" w:fill="E6E6E6"/>
              <w:lang w:eastAsia="de-CH"/>
            </w:rPr>
            <w:drawing>
              <wp:anchor distT="0" distB="0" distL="114300" distR="114300" simplePos="0" relativeHeight="251658240" behindDoc="0" locked="0" layoutInCell="1" allowOverlap="1" wp14:anchorId="25DD0B43" wp14:editId="5F9F6C20">
                <wp:simplePos x="0" y="0"/>
                <wp:positionH relativeFrom="column">
                  <wp:posOffset>1466215</wp:posOffset>
                </wp:positionH>
                <wp:positionV relativeFrom="paragraph">
                  <wp:posOffset>76200</wp:posOffset>
                </wp:positionV>
                <wp:extent cx="808355" cy="636905"/>
                <wp:effectExtent l="0" t="0" r="0" b="0"/>
                <wp:wrapNone/>
                <wp:docPr id="2123779512" name="Grafik 6" descr="C:\Users\helga.willer\AppData\Local\Microsoft\Windows\INetCache\Content.Outlook\EAUK74DX\ami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2">
                          <a:extLst>
                            <a:ext uri="{28A0092B-C50C-407E-A947-70E740481C1C}">
                              <a14:useLocalDpi xmlns:a14="http://schemas.microsoft.com/office/drawing/2010/main" val="0"/>
                            </a:ext>
                          </a:extLst>
                        </a:blip>
                        <a:stretch>
                          <a:fillRect/>
                        </a:stretch>
                      </pic:blipFill>
                      <pic:spPr>
                        <a:xfrm>
                          <a:off x="0" y="0"/>
                          <a:ext cx="808355" cy="636905"/>
                        </a:xfrm>
                        <a:prstGeom prst="rect">
                          <a:avLst/>
                        </a:prstGeom>
                      </pic:spPr>
                    </pic:pic>
                  </a:graphicData>
                </a:graphic>
                <wp14:sizeRelH relativeFrom="page">
                  <wp14:pctWidth>0</wp14:pctWidth>
                </wp14:sizeRelH>
                <wp14:sizeRelV relativeFrom="page">
                  <wp14:pctHeight>0</wp14:pctHeight>
                </wp14:sizeRelV>
              </wp:anchor>
            </w:drawing>
          </w:r>
        </w:p>
      </w:tc>
      <w:tc>
        <w:tcPr>
          <w:tcW w:w="1894" w:type="dxa"/>
          <w:vAlign w:val="bottom"/>
        </w:tcPr>
        <w:p w14:paraId="0858C362" w14:textId="79835BC4" w:rsidR="00F64C94" w:rsidRDefault="00F64C94" w:rsidP="00F64C94">
          <w:pPr>
            <w:tabs>
              <w:tab w:val="right" w:pos="7653"/>
            </w:tabs>
          </w:pPr>
        </w:p>
      </w:tc>
      <w:tc>
        <w:tcPr>
          <w:tcW w:w="1894" w:type="dxa"/>
          <w:vAlign w:val="bottom"/>
        </w:tcPr>
        <w:p w14:paraId="34D35885" w14:textId="561AC52F" w:rsidR="00F64C94" w:rsidRDefault="00FF7D28" w:rsidP="00F64C94">
          <w:pPr>
            <w:tabs>
              <w:tab w:val="right" w:pos="7653"/>
            </w:tabs>
          </w:pPr>
          <w:r>
            <w:t xml:space="preserve"> </w:t>
          </w:r>
          <w:r>
            <w:rPr>
              <w:noProof/>
              <w:lang w:eastAsia="de-CH"/>
            </w:rPr>
            <w:drawing>
              <wp:inline distT="0" distB="0" distL="0" distR="0" wp14:anchorId="3DAC15C1" wp14:editId="736057FA">
                <wp:extent cx="1182914" cy="474427"/>
                <wp:effectExtent l="0" t="0" r="0" b="1905"/>
                <wp:docPr id="11" name="Grafik 11" descr="https://www.liveseed.eu/wp-content/uploads/2020/07/IFOAM-logo-2019-300x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liveseed.eu/wp-content/uploads/2020/07/IFOAM-logo-2019-300x120.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86420" cy="475833"/>
                        </a:xfrm>
                        <a:prstGeom prst="rect">
                          <a:avLst/>
                        </a:prstGeom>
                        <a:noFill/>
                        <a:ln>
                          <a:noFill/>
                        </a:ln>
                      </pic:spPr>
                    </pic:pic>
                  </a:graphicData>
                </a:graphic>
              </wp:inline>
            </w:drawing>
          </w:r>
        </w:p>
      </w:tc>
    </w:tr>
    <w:bookmarkEnd w:id="0"/>
    <w:bookmarkEnd w:id="1"/>
    <w:bookmarkEnd w:id="2"/>
    <w:bookmarkEnd w:id="3"/>
  </w:tbl>
  <w:p w14:paraId="1773E1E8" w14:textId="77777777" w:rsidR="00540DAE" w:rsidRDefault="00540DAE"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ED822182"/>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029409E5"/>
    <w:multiLevelType w:val="multilevel"/>
    <w:tmpl w:val="E2EC15E4"/>
    <w:lvl w:ilvl="0">
      <w:start w:val="1"/>
      <w:numFmt w:val="upperRoman"/>
      <w:pStyle w:val="fiblmodul"/>
      <w:lvlText w:val="%1"/>
      <w:lvlJc w:val="left"/>
      <w:pPr>
        <w:tabs>
          <w:tab w:val="num" w:pos="720"/>
        </w:tabs>
        <w:ind w:left="720" w:hanging="720"/>
      </w:pPr>
      <w:rPr>
        <w:rFonts w:hint="default"/>
      </w:rPr>
    </w:lvl>
    <w:lvl w:ilvl="1">
      <w:start w:val="1"/>
      <w:numFmt w:val="ordinal"/>
      <w:lvlText w:val="%2"/>
      <w:lvlJc w:val="left"/>
      <w:pPr>
        <w:tabs>
          <w:tab w:val="num" w:pos="720"/>
        </w:tabs>
        <w:ind w:left="720" w:hanging="720"/>
      </w:pPr>
      <w:rPr>
        <w:rFonts w:hint="default"/>
      </w:rPr>
    </w:lvl>
    <w:lvl w:ilvl="2">
      <w:start w:val="1"/>
      <w:numFmt w:val="ordinal"/>
      <w:lvlText w:val="%2%3)"/>
      <w:lvlJc w:val="left"/>
      <w:pPr>
        <w:tabs>
          <w:tab w:val="num" w:pos="720"/>
        </w:tabs>
        <w:ind w:left="72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38EB616B"/>
    <w:multiLevelType w:val="hybridMultilevel"/>
    <w:tmpl w:val="17BA7BA0"/>
    <w:lvl w:ilvl="0" w:tplc="99942C50">
      <w:start w:val="1"/>
      <w:numFmt w:val="bullet"/>
      <w:pStyle w:val="FiBLmrannotationbulletpoint"/>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4" w15:restartNumberingAfterBreak="0">
    <w:nsid w:val="406535A6"/>
    <w:multiLevelType w:val="hybridMultilevel"/>
    <w:tmpl w:val="BF4E82C6"/>
    <w:lvl w:ilvl="0" w:tplc="EC5414F8">
      <w:start w:val="1"/>
      <w:numFmt w:val="decimal"/>
      <w:pStyle w:val="FiBLmrnumberi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53524358"/>
    <w:multiLevelType w:val="hybridMultilevel"/>
    <w:tmpl w:val="CD6C32E8"/>
    <w:lvl w:ilvl="0" w:tplc="BAF26DE8">
      <w:start w:val="1"/>
      <w:numFmt w:val="bullet"/>
      <w:pStyle w:val="FiBLmrbulletpoint"/>
      <w:lvlText w:val=""/>
      <w:lvlJc w:val="left"/>
      <w:pPr>
        <w:ind w:left="717" w:hanging="360"/>
      </w:pPr>
      <w:rPr>
        <w:rFonts w:ascii="Symbol" w:hAnsi="Symbol" w:hint="default"/>
        <w:color w:val="2F6C86"/>
        <w:em w:val="none"/>
      </w:rPr>
    </w:lvl>
    <w:lvl w:ilvl="1" w:tplc="401CF8A6">
      <w:start w:val="1"/>
      <w:numFmt w:val="bullet"/>
      <w:pStyle w:val="FiBLmrbulletpoint2"/>
      <w:lvlText w:val="-"/>
      <w:lvlJc w:val="left"/>
      <w:pPr>
        <w:ind w:left="1440" w:hanging="360"/>
      </w:pPr>
      <w:rPr>
        <w:rFonts w:ascii="Courier New" w:hAnsi="Courier New" w:hint="default"/>
        <w:b/>
        <w:i w:val="0"/>
        <w:color w:val="2F6C86"/>
      </w:rPr>
    </w:lvl>
    <w:lvl w:ilvl="2" w:tplc="459038C8">
      <w:start w:val="1"/>
      <w:numFmt w:val="bullet"/>
      <w:pStyle w:val="FiBLmrbulletpoint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fr-CH" w:vendorID="64" w:dllVersion="0" w:nlCheck="1" w:checkStyle="0"/>
  <w:activeWritingStyle w:appName="MSWord" w:lang="en-GB" w:vendorID="64" w:dllVersion="4096" w:nlCheck="1" w:checkStyle="0"/>
  <w:activeWritingStyle w:appName="MSWord" w:lang="de-CH" w:vendorID="64" w:dllVersion="4096" w:nlCheck="1" w:checkStyle="0"/>
  <w:activeWritingStyle w:appName="MSWord" w:lang="it-IT" w:vendorID="64" w:dllVersion="4096" w:nlCheck="1" w:checkStyle="0"/>
  <w:activeWritingStyle w:appName="MSWord" w:lang="es-ES" w:vendorID="64" w:dllVersion="4096" w:nlCheck="1" w:checkStyle="0"/>
  <w:activeWritingStyle w:appName="MSWord" w:lang="fr-CH"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fr-CH" w:vendorID="64" w:dllVersion="6" w:nlCheck="1" w:checkStyle="0"/>
  <w:activeWritingStyle w:appName="MSWord" w:lang="de-CH" w:vendorID="64" w:dllVersion="6" w:nlCheck="1" w:checkStyle="0"/>
  <w:activeWritingStyle w:appName="MSWord" w:lang="en-US" w:vendorID="64" w:dllVersion="6" w:nlCheck="1" w:checkStyle="1"/>
  <w:activeWritingStyle w:appName="MSWord" w:lang="en-GB" w:vendorID="64" w:dllVersion="0" w:nlCheck="1" w:checkStyle="0"/>
  <w:activeWritingStyle w:appName="MSWord" w:lang="es-ES" w:vendorID="64" w:dllVersion="0" w:nlCheck="1" w:checkStyle="0"/>
  <w:activeWritingStyle w:appName="MSWord" w:lang="fr-BE" w:vendorID="64" w:dllVersion="0" w:nlCheck="1" w:checkStyle="0"/>
  <w:activeWritingStyle w:appName="MSWord" w:lang="fr-BE" w:vendorID="64" w:dllVersion="4096" w:nlCheck="1" w:checkStyle="0"/>
  <w:activeWritingStyle w:appName="MSWord" w:lang="fr-BE" w:vendorID="64" w:dllVersion="6" w:nlCheck="1" w:checkStyle="0"/>
  <w:activeWritingStyle w:appName="MSWord" w:lang="it-CH" w:vendorID="64" w:dllVersion="4096" w:nlCheck="1" w:checkStyle="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KyNLIwN7E0Nbe0MDFR0lEKTi0uzszPAykwNK8FANJAoXEtAAAA"/>
  </w:docVars>
  <w:rsids>
    <w:rsidRoot w:val="008D48AD"/>
    <w:rsid w:val="00006BB1"/>
    <w:rsid w:val="00032A53"/>
    <w:rsid w:val="00042522"/>
    <w:rsid w:val="00050DC8"/>
    <w:rsid w:val="0005173A"/>
    <w:rsid w:val="00060310"/>
    <w:rsid w:val="00061205"/>
    <w:rsid w:val="00073330"/>
    <w:rsid w:val="000752CD"/>
    <w:rsid w:val="00077078"/>
    <w:rsid w:val="0008048E"/>
    <w:rsid w:val="0008157D"/>
    <w:rsid w:val="0008266D"/>
    <w:rsid w:val="000839A8"/>
    <w:rsid w:val="000912D9"/>
    <w:rsid w:val="000964BB"/>
    <w:rsid w:val="00097E74"/>
    <w:rsid w:val="000A0CF7"/>
    <w:rsid w:val="000A27DB"/>
    <w:rsid w:val="000A3B13"/>
    <w:rsid w:val="000A6997"/>
    <w:rsid w:val="000B0146"/>
    <w:rsid w:val="000B0DFD"/>
    <w:rsid w:val="000B5156"/>
    <w:rsid w:val="000C429D"/>
    <w:rsid w:val="000C675A"/>
    <w:rsid w:val="000C7401"/>
    <w:rsid w:val="000C75D0"/>
    <w:rsid w:val="000D5714"/>
    <w:rsid w:val="000D7A27"/>
    <w:rsid w:val="000E7B9A"/>
    <w:rsid w:val="000F46AD"/>
    <w:rsid w:val="00101CDB"/>
    <w:rsid w:val="0010418E"/>
    <w:rsid w:val="00104447"/>
    <w:rsid w:val="00104972"/>
    <w:rsid w:val="001050BE"/>
    <w:rsid w:val="00107221"/>
    <w:rsid w:val="00111FC1"/>
    <w:rsid w:val="00116C30"/>
    <w:rsid w:val="001244F3"/>
    <w:rsid w:val="001266D9"/>
    <w:rsid w:val="001354F8"/>
    <w:rsid w:val="001355DA"/>
    <w:rsid w:val="00146772"/>
    <w:rsid w:val="00155044"/>
    <w:rsid w:val="001558D3"/>
    <w:rsid w:val="00163CFC"/>
    <w:rsid w:val="0017068A"/>
    <w:rsid w:val="00170D7D"/>
    <w:rsid w:val="0018225C"/>
    <w:rsid w:val="0018434A"/>
    <w:rsid w:val="00186F8F"/>
    <w:rsid w:val="00190129"/>
    <w:rsid w:val="00195EC7"/>
    <w:rsid w:val="001A0498"/>
    <w:rsid w:val="001B34C5"/>
    <w:rsid w:val="001B3DB5"/>
    <w:rsid w:val="001D078F"/>
    <w:rsid w:val="001E1C11"/>
    <w:rsid w:val="001F529F"/>
    <w:rsid w:val="00211862"/>
    <w:rsid w:val="00217211"/>
    <w:rsid w:val="002203DD"/>
    <w:rsid w:val="002216AF"/>
    <w:rsid w:val="0022639B"/>
    <w:rsid w:val="00230924"/>
    <w:rsid w:val="00232993"/>
    <w:rsid w:val="00234086"/>
    <w:rsid w:val="002346DF"/>
    <w:rsid w:val="002510E2"/>
    <w:rsid w:val="0025116B"/>
    <w:rsid w:val="0025491A"/>
    <w:rsid w:val="00254F8D"/>
    <w:rsid w:val="00256FE1"/>
    <w:rsid w:val="00272464"/>
    <w:rsid w:val="00280674"/>
    <w:rsid w:val="002837D9"/>
    <w:rsid w:val="002925F1"/>
    <w:rsid w:val="0029632A"/>
    <w:rsid w:val="002A43EB"/>
    <w:rsid w:val="002A4613"/>
    <w:rsid w:val="002B1239"/>
    <w:rsid w:val="002B1D53"/>
    <w:rsid w:val="002B39D2"/>
    <w:rsid w:val="002C0814"/>
    <w:rsid w:val="002C17B5"/>
    <w:rsid w:val="002C3506"/>
    <w:rsid w:val="002C42B8"/>
    <w:rsid w:val="002D6D20"/>
    <w:rsid w:val="002D757B"/>
    <w:rsid w:val="002D7D78"/>
    <w:rsid w:val="002E617C"/>
    <w:rsid w:val="002F044B"/>
    <w:rsid w:val="002F1625"/>
    <w:rsid w:val="002F4127"/>
    <w:rsid w:val="002F586A"/>
    <w:rsid w:val="0030119E"/>
    <w:rsid w:val="00306A70"/>
    <w:rsid w:val="003150C5"/>
    <w:rsid w:val="00323361"/>
    <w:rsid w:val="00323B6A"/>
    <w:rsid w:val="00325F32"/>
    <w:rsid w:val="00334E1A"/>
    <w:rsid w:val="003417DB"/>
    <w:rsid w:val="00344B27"/>
    <w:rsid w:val="003479AA"/>
    <w:rsid w:val="00350CD6"/>
    <w:rsid w:val="00351E81"/>
    <w:rsid w:val="003774F3"/>
    <w:rsid w:val="003A4191"/>
    <w:rsid w:val="003A5728"/>
    <w:rsid w:val="003C1747"/>
    <w:rsid w:val="003C6406"/>
    <w:rsid w:val="003D1138"/>
    <w:rsid w:val="003E6FEB"/>
    <w:rsid w:val="003F4287"/>
    <w:rsid w:val="004144BD"/>
    <w:rsid w:val="00414F90"/>
    <w:rsid w:val="0041671F"/>
    <w:rsid w:val="00416BA5"/>
    <w:rsid w:val="00423C89"/>
    <w:rsid w:val="00426896"/>
    <w:rsid w:val="00435155"/>
    <w:rsid w:val="0044286A"/>
    <w:rsid w:val="00446B90"/>
    <w:rsid w:val="00450F2F"/>
    <w:rsid w:val="00453BD9"/>
    <w:rsid w:val="00455853"/>
    <w:rsid w:val="004570C7"/>
    <w:rsid w:val="0045715C"/>
    <w:rsid w:val="00465871"/>
    <w:rsid w:val="0046602F"/>
    <w:rsid w:val="004707B1"/>
    <w:rsid w:val="004762FE"/>
    <w:rsid w:val="004807B1"/>
    <w:rsid w:val="004B0809"/>
    <w:rsid w:val="004C0198"/>
    <w:rsid w:val="004C4067"/>
    <w:rsid w:val="004D3FEF"/>
    <w:rsid w:val="004D6428"/>
    <w:rsid w:val="004F613F"/>
    <w:rsid w:val="00502D3A"/>
    <w:rsid w:val="005051BA"/>
    <w:rsid w:val="00505E4E"/>
    <w:rsid w:val="00515CC3"/>
    <w:rsid w:val="0053096A"/>
    <w:rsid w:val="00535A81"/>
    <w:rsid w:val="00540B0E"/>
    <w:rsid w:val="00540DAE"/>
    <w:rsid w:val="005418B7"/>
    <w:rsid w:val="00555C7D"/>
    <w:rsid w:val="00566983"/>
    <w:rsid w:val="00567811"/>
    <w:rsid w:val="00571E3B"/>
    <w:rsid w:val="00580C94"/>
    <w:rsid w:val="005867AD"/>
    <w:rsid w:val="00587E00"/>
    <w:rsid w:val="005938C8"/>
    <w:rsid w:val="0059401F"/>
    <w:rsid w:val="005947BC"/>
    <w:rsid w:val="00594B89"/>
    <w:rsid w:val="00597E5C"/>
    <w:rsid w:val="005B2918"/>
    <w:rsid w:val="005B675F"/>
    <w:rsid w:val="005C0FBE"/>
    <w:rsid w:val="005C344D"/>
    <w:rsid w:val="005D0989"/>
    <w:rsid w:val="005D4CE9"/>
    <w:rsid w:val="005F1359"/>
    <w:rsid w:val="005F2E21"/>
    <w:rsid w:val="005F435A"/>
    <w:rsid w:val="005F460D"/>
    <w:rsid w:val="005F4CAA"/>
    <w:rsid w:val="005F5A7E"/>
    <w:rsid w:val="0060369E"/>
    <w:rsid w:val="00604E9F"/>
    <w:rsid w:val="00607310"/>
    <w:rsid w:val="00630CFE"/>
    <w:rsid w:val="00633F07"/>
    <w:rsid w:val="00635F5E"/>
    <w:rsid w:val="006410F4"/>
    <w:rsid w:val="00643142"/>
    <w:rsid w:val="00646E4A"/>
    <w:rsid w:val="006569B3"/>
    <w:rsid w:val="00661678"/>
    <w:rsid w:val="0066529D"/>
    <w:rsid w:val="00665AA9"/>
    <w:rsid w:val="00681E9E"/>
    <w:rsid w:val="00686D1E"/>
    <w:rsid w:val="00697388"/>
    <w:rsid w:val="006A3469"/>
    <w:rsid w:val="006B09A5"/>
    <w:rsid w:val="006C758B"/>
    <w:rsid w:val="006D0FF6"/>
    <w:rsid w:val="006D4D11"/>
    <w:rsid w:val="006E5068"/>
    <w:rsid w:val="006E612A"/>
    <w:rsid w:val="006E63C9"/>
    <w:rsid w:val="00712776"/>
    <w:rsid w:val="00724069"/>
    <w:rsid w:val="00725AA3"/>
    <w:rsid w:val="00727486"/>
    <w:rsid w:val="00736F11"/>
    <w:rsid w:val="00754508"/>
    <w:rsid w:val="00764E69"/>
    <w:rsid w:val="007666E3"/>
    <w:rsid w:val="00783BE6"/>
    <w:rsid w:val="0078621C"/>
    <w:rsid w:val="0078787E"/>
    <w:rsid w:val="00793238"/>
    <w:rsid w:val="00795877"/>
    <w:rsid w:val="007A051D"/>
    <w:rsid w:val="007A0D20"/>
    <w:rsid w:val="007B1234"/>
    <w:rsid w:val="007B234C"/>
    <w:rsid w:val="007B6BF6"/>
    <w:rsid w:val="007B707B"/>
    <w:rsid w:val="007C6110"/>
    <w:rsid w:val="007C7E19"/>
    <w:rsid w:val="007D7CD4"/>
    <w:rsid w:val="007E2523"/>
    <w:rsid w:val="007F5DA5"/>
    <w:rsid w:val="00803C05"/>
    <w:rsid w:val="008054E4"/>
    <w:rsid w:val="00806A24"/>
    <w:rsid w:val="00817B94"/>
    <w:rsid w:val="00823157"/>
    <w:rsid w:val="00824DC6"/>
    <w:rsid w:val="008417D3"/>
    <w:rsid w:val="008419E5"/>
    <w:rsid w:val="008503A6"/>
    <w:rsid w:val="00852159"/>
    <w:rsid w:val="00861053"/>
    <w:rsid w:val="00866E96"/>
    <w:rsid w:val="00872371"/>
    <w:rsid w:val="00872C3B"/>
    <w:rsid w:val="008854D1"/>
    <w:rsid w:val="0089483C"/>
    <w:rsid w:val="008A5E8C"/>
    <w:rsid w:val="008A6B50"/>
    <w:rsid w:val="008A6F59"/>
    <w:rsid w:val="008A73BC"/>
    <w:rsid w:val="008B7311"/>
    <w:rsid w:val="008D2D54"/>
    <w:rsid w:val="008D48AD"/>
    <w:rsid w:val="008E63F1"/>
    <w:rsid w:val="008F3746"/>
    <w:rsid w:val="0090025E"/>
    <w:rsid w:val="00901CAD"/>
    <w:rsid w:val="0090711F"/>
    <w:rsid w:val="00910553"/>
    <w:rsid w:val="009109C1"/>
    <w:rsid w:val="00912F05"/>
    <w:rsid w:val="00926314"/>
    <w:rsid w:val="00930BF7"/>
    <w:rsid w:val="0094355D"/>
    <w:rsid w:val="0094480E"/>
    <w:rsid w:val="0095158F"/>
    <w:rsid w:val="0095794B"/>
    <w:rsid w:val="00964193"/>
    <w:rsid w:val="009669B5"/>
    <w:rsid w:val="009767BF"/>
    <w:rsid w:val="00981742"/>
    <w:rsid w:val="00982A03"/>
    <w:rsid w:val="00982A9E"/>
    <w:rsid w:val="0098492F"/>
    <w:rsid w:val="00984E5B"/>
    <w:rsid w:val="00986F71"/>
    <w:rsid w:val="00997CC3"/>
    <w:rsid w:val="009A52C4"/>
    <w:rsid w:val="009B0C59"/>
    <w:rsid w:val="009C0B90"/>
    <w:rsid w:val="009C0F61"/>
    <w:rsid w:val="009C7E54"/>
    <w:rsid w:val="009D0516"/>
    <w:rsid w:val="009E747E"/>
    <w:rsid w:val="009F18E2"/>
    <w:rsid w:val="009F1AD7"/>
    <w:rsid w:val="00A02268"/>
    <w:rsid w:val="00A033E7"/>
    <w:rsid w:val="00A04F66"/>
    <w:rsid w:val="00A056D1"/>
    <w:rsid w:val="00A104A6"/>
    <w:rsid w:val="00A135C6"/>
    <w:rsid w:val="00A170AA"/>
    <w:rsid w:val="00A32598"/>
    <w:rsid w:val="00A365ED"/>
    <w:rsid w:val="00A54AC7"/>
    <w:rsid w:val="00A57050"/>
    <w:rsid w:val="00A624F0"/>
    <w:rsid w:val="00A632FC"/>
    <w:rsid w:val="00A647C8"/>
    <w:rsid w:val="00A73B2A"/>
    <w:rsid w:val="00A83320"/>
    <w:rsid w:val="00A84D76"/>
    <w:rsid w:val="00A87EFC"/>
    <w:rsid w:val="00AA295A"/>
    <w:rsid w:val="00AA60EF"/>
    <w:rsid w:val="00AC49E0"/>
    <w:rsid w:val="00AC6487"/>
    <w:rsid w:val="00AD1C24"/>
    <w:rsid w:val="00AE285D"/>
    <w:rsid w:val="00AE7B5A"/>
    <w:rsid w:val="00B07CCE"/>
    <w:rsid w:val="00B116CC"/>
    <w:rsid w:val="00B11B61"/>
    <w:rsid w:val="00B15BC3"/>
    <w:rsid w:val="00B169A5"/>
    <w:rsid w:val="00B23022"/>
    <w:rsid w:val="00B25F0B"/>
    <w:rsid w:val="00B273DE"/>
    <w:rsid w:val="00B42BDB"/>
    <w:rsid w:val="00B44024"/>
    <w:rsid w:val="00B45D24"/>
    <w:rsid w:val="00B509A5"/>
    <w:rsid w:val="00B85E34"/>
    <w:rsid w:val="00B90724"/>
    <w:rsid w:val="00B958BD"/>
    <w:rsid w:val="00BB6309"/>
    <w:rsid w:val="00BB64BC"/>
    <w:rsid w:val="00BB6809"/>
    <w:rsid w:val="00BB7AF8"/>
    <w:rsid w:val="00BC05AC"/>
    <w:rsid w:val="00BC1BE7"/>
    <w:rsid w:val="00BC5D34"/>
    <w:rsid w:val="00BC6345"/>
    <w:rsid w:val="00BD333C"/>
    <w:rsid w:val="00BD35CD"/>
    <w:rsid w:val="00BE11FC"/>
    <w:rsid w:val="00BE3392"/>
    <w:rsid w:val="00BF519D"/>
    <w:rsid w:val="00BF56F6"/>
    <w:rsid w:val="00C042FA"/>
    <w:rsid w:val="00C10742"/>
    <w:rsid w:val="00C13AF5"/>
    <w:rsid w:val="00C14AA4"/>
    <w:rsid w:val="00C173AB"/>
    <w:rsid w:val="00C226B5"/>
    <w:rsid w:val="00C23364"/>
    <w:rsid w:val="00C27A83"/>
    <w:rsid w:val="00C3309F"/>
    <w:rsid w:val="00C4331B"/>
    <w:rsid w:val="00C4769C"/>
    <w:rsid w:val="00C50896"/>
    <w:rsid w:val="00C5141F"/>
    <w:rsid w:val="00C54E7B"/>
    <w:rsid w:val="00C71277"/>
    <w:rsid w:val="00C725B7"/>
    <w:rsid w:val="00C73E52"/>
    <w:rsid w:val="00C8256D"/>
    <w:rsid w:val="00C85700"/>
    <w:rsid w:val="00C93A6C"/>
    <w:rsid w:val="00CA2E6C"/>
    <w:rsid w:val="00CB20AA"/>
    <w:rsid w:val="00CB5958"/>
    <w:rsid w:val="00CC3D03"/>
    <w:rsid w:val="00CD4B01"/>
    <w:rsid w:val="00CE1A38"/>
    <w:rsid w:val="00CE703A"/>
    <w:rsid w:val="00CF3115"/>
    <w:rsid w:val="00CF4CEC"/>
    <w:rsid w:val="00CF64B2"/>
    <w:rsid w:val="00CF6598"/>
    <w:rsid w:val="00D0032B"/>
    <w:rsid w:val="00D04054"/>
    <w:rsid w:val="00D06A9E"/>
    <w:rsid w:val="00D142E7"/>
    <w:rsid w:val="00D20589"/>
    <w:rsid w:val="00D25E6E"/>
    <w:rsid w:val="00D30D62"/>
    <w:rsid w:val="00D30DE7"/>
    <w:rsid w:val="00D32E71"/>
    <w:rsid w:val="00D5217F"/>
    <w:rsid w:val="00D55AEC"/>
    <w:rsid w:val="00D5665E"/>
    <w:rsid w:val="00D61A9A"/>
    <w:rsid w:val="00D6787B"/>
    <w:rsid w:val="00D72CCF"/>
    <w:rsid w:val="00D7727C"/>
    <w:rsid w:val="00D82FEC"/>
    <w:rsid w:val="00D84B91"/>
    <w:rsid w:val="00D87997"/>
    <w:rsid w:val="00DA14CE"/>
    <w:rsid w:val="00DA3FA8"/>
    <w:rsid w:val="00DA5D86"/>
    <w:rsid w:val="00DA7216"/>
    <w:rsid w:val="00DB58A2"/>
    <w:rsid w:val="00DB5D80"/>
    <w:rsid w:val="00DC15AC"/>
    <w:rsid w:val="00DC3FA0"/>
    <w:rsid w:val="00DC4AB6"/>
    <w:rsid w:val="00DC73DF"/>
    <w:rsid w:val="00DD0000"/>
    <w:rsid w:val="00DD4377"/>
    <w:rsid w:val="00DE44EA"/>
    <w:rsid w:val="00DF2620"/>
    <w:rsid w:val="00E0141C"/>
    <w:rsid w:val="00E02B90"/>
    <w:rsid w:val="00E06042"/>
    <w:rsid w:val="00E15F69"/>
    <w:rsid w:val="00E26382"/>
    <w:rsid w:val="00E32B51"/>
    <w:rsid w:val="00E34E1A"/>
    <w:rsid w:val="00E433A3"/>
    <w:rsid w:val="00E451EE"/>
    <w:rsid w:val="00E55FBD"/>
    <w:rsid w:val="00E64975"/>
    <w:rsid w:val="00E7130C"/>
    <w:rsid w:val="00E71FBF"/>
    <w:rsid w:val="00E8113E"/>
    <w:rsid w:val="00EB6B1C"/>
    <w:rsid w:val="00EC3302"/>
    <w:rsid w:val="00ED0946"/>
    <w:rsid w:val="00ED1168"/>
    <w:rsid w:val="00ED358F"/>
    <w:rsid w:val="00ED6834"/>
    <w:rsid w:val="00EF1BCC"/>
    <w:rsid w:val="00EF32A3"/>
    <w:rsid w:val="00EF726D"/>
    <w:rsid w:val="00F04498"/>
    <w:rsid w:val="00F0723F"/>
    <w:rsid w:val="00F07B60"/>
    <w:rsid w:val="00F21C5E"/>
    <w:rsid w:val="00F241D1"/>
    <w:rsid w:val="00F260F3"/>
    <w:rsid w:val="00F33F4A"/>
    <w:rsid w:val="00F368C0"/>
    <w:rsid w:val="00F40ECA"/>
    <w:rsid w:val="00F463DB"/>
    <w:rsid w:val="00F53AA9"/>
    <w:rsid w:val="00F620F0"/>
    <w:rsid w:val="00F64C94"/>
    <w:rsid w:val="00F6745D"/>
    <w:rsid w:val="00F678FA"/>
    <w:rsid w:val="00F72159"/>
    <w:rsid w:val="00F73377"/>
    <w:rsid w:val="00FA0C71"/>
    <w:rsid w:val="00FB1B87"/>
    <w:rsid w:val="00FB1EAC"/>
    <w:rsid w:val="00FB36B7"/>
    <w:rsid w:val="00FC00B9"/>
    <w:rsid w:val="00FC10FE"/>
    <w:rsid w:val="00FC7C7B"/>
    <w:rsid w:val="00FD55BE"/>
    <w:rsid w:val="00FD7254"/>
    <w:rsid w:val="00FE497D"/>
    <w:rsid w:val="00FE729D"/>
    <w:rsid w:val="00FF19E2"/>
    <w:rsid w:val="00FF7D28"/>
    <w:rsid w:val="01A1E78A"/>
    <w:rsid w:val="0268A986"/>
    <w:rsid w:val="03248F8E"/>
    <w:rsid w:val="0DB77902"/>
    <w:rsid w:val="0E674235"/>
    <w:rsid w:val="10B30D8A"/>
    <w:rsid w:val="163B25F5"/>
    <w:rsid w:val="190D78DC"/>
    <w:rsid w:val="1A0EC3E7"/>
    <w:rsid w:val="1B348A66"/>
    <w:rsid w:val="1F4755A7"/>
    <w:rsid w:val="1F65D626"/>
    <w:rsid w:val="224BD958"/>
    <w:rsid w:val="27BD13D5"/>
    <w:rsid w:val="28C2ABD3"/>
    <w:rsid w:val="2D34B932"/>
    <w:rsid w:val="32ADB2A7"/>
    <w:rsid w:val="3767FB6D"/>
    <w:rsid w:val="377AC9AE"/>
    <w:rsid w:val="3A5F7909"/>
    <w:rsid w:val="3E7296A4"/>
    <w:rsid w:val="3F76E7A1"/>
    <w:rsid w:val="44ABFC01"/>
    <w:rsid w:val="46D611C9"/>
    <w:rsid w:val="47F3F311"/>
    <w:rsid w:val="49418A0A"/>
    <w:rsid w:val="4FCE8791"/>
    <w:rsid w:val="506E3655"/>
    <w:rsid w:val="556AF11A"/>
    <w:rsid w:val="55CA482E"/>
    <w:rsid w:val="5B179948"/>
    <w:rsid w:val="5BDF5AD8"/>
    <w:rsid w:val="5E455446"/>
    <w:rsid w:val="5FCDF628"/>
    <w:rsid w:val="6136E9FC"/>
    <w:rsid w:val="6168145C"/>
    <w:rsid w:val="636ABD5E"/>
    <w:rsid w:val="66AA8594"/>
    <w:rsid w:val="6AD8BA3C"/>
    <w:rsid w:val="71C7393C"/>
    <w:rsid w:val="7233D12D"/>
    <w:rsid w:val="73B67931"/>
    <w:rsid w:val="761B6CE3"/>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EC3118"/>
  <w15:docId w15:val="{DD2CF0C0-2F57-4280-B4AD-18968F991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0912D9"/>
  </w:style>
  <w:style w:type="paragraph" w:styleId="berschrift1">
    <w:name w:val="heading 1"/>
    <w:aliases w:val="woa-h1-new,Tirift 1,eu_u1_neu,überschrift 1,heading1,OFP1,heading 1"/>
    <w:basedOn w:val="Standard"/>
    <w:next w:val="Standard"/>
    <w:link w:val="berschrift1Zchn"/>
    <w:qFormat/>
    <w:rsid w:val="00ED358F"/>
    <w:pPr>
      <w:pageBreakBefore/>
      <w:widowControl w:val="0"/>
      <w:tabs>
        <w:tab w:val="left" w:pos="3067"/>
      </w:tabs>
      <w:spacing w:before="120" w:after="400" w:line="240" w:lineRule="auto"/>
      <w:outlineLvl w:val="0"/>
    </w:pPr>
    <w:rPr>
      <w:rFonts w:ascii="Gill Sans MT" w:eastAsia="MS Mincho" w:hAnsi="Gill Sans MT" w:cs="Times New Roman"/>
      <w:b/>
      <w:color w:val="000000"/>
      <w:sz w:val="28"/>
      <w:szCs w:val="20"/>
      <w:lang w:val="en-GB"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107221"/>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rstandard">
    <w:name w:val="FiBL_mr_standard"/>
    <w:qFormat/>
    <w:rsid w:val="000C429D"/>
    <w:pPr>
      <w:spacing w:after="120" w:line="280" w:lineRule="atLeast"/>
    </w:pPr>
    <w:rPr>
      <w:rFonts w:ascii="Palatino Linotype" w:hAnsi="Palatino Linotype"/>
      <w:lang w:val="en-GB"/>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rfooter">
    <w:name w:val="FiBL_mr_footer"/>
    <w:basedOn w:val="Standard"/>
    <w:qFormat/>
    <w:rsid w:val="00567811"/>
    <w:pPr>
      <w:widowControl w:val="0"/>
      <w:autoSpaceDE w:val="0"/>
      <w:autoSpaceDN w:val="0"/>
      <w:spacing w:after="0" w:line="240" w:lineRule="atLeast"/>
      <w:ind w:right="-569"/>
    </w:pPr>
    <w:rPr>
      <w:rFonts w:ascii="Gill Sans MT" w:eastAsia="Sitka Text" w:hAnsi="Gill Sans MT" w:cs="Sitka Text"/>
      <w:color w:val="231F20"/>
      <w:w w:val="105"/>
      <w:sz w:val="20"/>
      <w:lang w:val="en-GB" w:eastAsia="en-US"/>
    </w:rPr>
  </w:style>
  <w:style w:type="paragraph" w:styleId="Sprechblasentext">
    <w:name w:val="Balloon Text"/>
    <w:basedOn w:val="Standard"/>
    <w:link w:val="SprechblasentextZchn"/>
    <w:uiPriority w:val="99"/>
    <w:semiHidden/>
    <w:unhideWhenUsed/>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35C6"/>
    <w:rPr>
      <w:rFonts w:ascii="Segoe UI" w:hAnsi="Segoe UI" w:cs="Segoe UI"/>
      <w:sz w:val="18"/>
      <w:szCs w:val="18"/>
    </w:rPr>
  </w:style>
  <w:style w:type="paragraph" w:customStyle="1" w:styleId="FiBLmrbulletpoint">
    <w:name w:val="FiBL_mr_bulletpoint"/>
    <w:basedOn w:val="FiBLmrstandard"/>
    <w:qFormat/>
    <w:rsid w:val="00F620F0"/>
    <w:pPr>
      <w:numPr>
        <w:numId w:val="1"/>
      </w:numPr>
      <w:ind w:left="426" w:hanging="284"/>
    </w:pPr>
  </w:style>
  <w:style w:type="paragraph" w:customStyle="1" w:styleId="FiBLmrbulletpoint2">
    <w:name w:val="FiBL_mr_bulletpoint_2"/>
    <w:basedOn w:val="FiBLmrbulletpoint"/>
    <w:qFormat/>
    <w:rsid w:val="001354F8"/>
    <w:pPr>
      <w:numPr>
        <w:ilvl w:val="1"/>
      </w:numPr>
      <w:ind w:left="568" w:hanging="284"/>
    </w:pPr>
  </w:style>
  <w:style w:type="paragraph" w:customStyle="1" w:styleId="FiBLmrbulletpoint3">
    <w:name w:val="FiBL_mr_bulletpoint_3"/>
    <w:basedOn w:val="FiBLmrbulletpoint"/>
    <w:qFormat/>
    <w:rsid w:val="001354F8"/>
    <w:pPr>
      <w:numPr>
        <w:ilvl w:val="2"/>
      </w:numPr>
      <w:ind w:left="709" w:hanging="284"/>
    </w:pPr>
  </w:style>
  <w:style w:type="paragraph" w:customStyle="1" w:styleId="FiBLmrnumbering">
    <w:name w:val="FiBL_mr_numbering"/>
    <w:basedOn w:val="FiBLmrstandard"/>
    <w:qFormat/>
    <w:rsid w:val="002F1625"/>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rtitle">
    <w:name w:val="FiBL_mr_title"/>
    <w:basedOn w:val="FiBLmrstandard"/>
    <w:qFormat/>
    <w:rsid w:val="004762FE"/>
    <w:pPr>
      <w:spacing w:before="240" w:after="240"/>
    </w:pPr>
    <w:rPr>
      <w:rFonts w:ascii="Gill Sans MT" w:hAnsi="Gill Sans MT"/>
      <w:b/>
      <w:sz w:val="34"/>
    </w:rPr>
  </w:style>
  <w:style w:type="paragraph" w:customStyle="1" w:styleId="FiBLmrlead">
    <w:name w:val="FiBL_mr_lead"/>
    <w:basedOn w:val="FiBLmrstandard"/>
    <w:next w:val="FiBLmrstandard"/>
    <w:qFormat/>
    <w:rsid w:val="002F1625"/>
    <w:pPr>
      <w:spacing w:after="200"/>
    </w:pPr>
    <w:rPr>
      <w:rFonts w:ascii="Gill Sans MT" w:hAnsi="Gill Sans MT"/>
      <w:b/>
    </w:rPr>
  </w:style>
  <w:style w:type="paragraph" w:customStyle="1" w:styleId="FiBLmrheader">
    <w:name w:val="FiBL_mr_header"/>
    <w:basedOn w:val="FiBLmrstandard"/>
    <w:qFormat/>
    <w:rsid w:val="007666E3"/>
    <w:pPr>
      <w:spacing w:after="0" w:line="240" w:lineRule="auto"/>
    </w:pPr>
    <w:rPr>
      <w:rFonts w:ascii="Gill Sans MT" w:hAnsi="Gill Sans MT"/>
    </w:rPr>
  </w:style>
  <w:style w:type="paragraph" w:customStyle="1" w:styleId="FiBLmrsubheader">
    <w:name w:val="FiBL_mr_subheader"/>
    <w:basedOn w:val="FiBLmrstandard"/>
    <w:qFormat/>
    <w:rsid w:val="002F1625"/>
    <w:pPr>
      <w:keepNext/>
      <w:spacing w:before="360"/>
    </w:pPr>
    <w:rPr>
      <w:rFonts w:ascii="Gill Sans MT" w:hAnsi="Gill Sans MT"/>
      <w:b/>
    </w:rPr>
  </w:style>
  <w:style w:type="paragraph" w:customStyle="1" w:styleId="FiBLmraddinfo">
    <w:name w:val="FiBL_mr_add_info"/>
    <w:basedOn w:val="FiBLmrstandard"/>
    <w:next w:val="FiBLmrstandard"/>
    <w:qFormat/>
    <w:rsid w:val="00567811"/>
    <w:pPr>
      <w:keepNext/>
      <w:spacing w:before="400"/>
    </w:pPr>
    <w:rPr>
      <w:rFonts w:ascii="Gill Sans MT" w:hAnsi="Gill Sans MT"/>
      <w:b/>
    </w:rPr>
  </w:style>
  <w:style w:type="paragraph" w:customStyle="1" w:styleId="FiBLmrreferences">
    <w:name w:val="FiBL_mr_references"/>
    <w:basedOn w:val="FiBLmrstandard"/>
    <w:qFormat/>
    <w:rsid w:val="00A54AC7"/>
    <w:pPr>
      <w:spacing w:before="40" w:after="40" w:line="240" w:lineRule="auto"/>
      <w:ind w:left="425" w:hanging="425"/>
    </w:pPr>
    <w:rPr>
      <w:sz w:val="20"/>
    </w:rPr>
  </w:style>
  <w:style w:type="paragraph" w:customStyle="1" w:styleId="FiBLmrpagenumber">
    <w:name w:val="FiBL_mr_pagenumber"/>
    <w:basedOn w:val="FiBLmrfooter"/>
    <w:qFormat/>
    <w:rsid w:val="00DA14CE"/>
  </w:style>
  <w:style w:type="paragraph" w:customStyle="1" w:styleId="FiBLmrannotationbulletpoint">
    <w:name w:val="FiBL_mr_annotation_bulletpoint"/>
    <w:basedOn w:val="FiBLmrbulletpoint"/>
    <w:qFormat/>
    <w:rsid w:val="006569B3"/>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rannotation">
    <w:name w:val="FiBL_mr_annotation"/>
    <w:basedOn w:val="Standard"/>
    <w:qFormat/>
    <w:rsid w:val="00B15BC3"/>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lang w:val="en-GB"/>
    </w:rPr>
  </w:style>
  <w:style w:type="paragraph" w:customStyle="1" w:styleId="FiBLmrannotationtitle">
    <w:name w:val="FiBL_mr_annotation_title"/>
    <w:basedOn w:val="FiBLmraddinfo"/>
    <w:qFormat/>
    <w:rsid w:val="006569B3"/>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unhideWhenUsed/>
    <w:rsid w:val="00F678FA"/>
    <w:rPr>
      <w:color w:val="969696" w:themeColor="followedHyperlink"/>
      <w:u w:val="single"/>
    </w:rPr>
  </w:style>
  <w:style w:type="paragraph" w:styleId="Kopfzeile">
    <w:name w:val="header"/>
    <w:basedOn w:val="Standard"/>
    <w:link w:val="KopfzeileZchn"/>
    <w:uiPriority w:val="99"/>
    <w:unhideWhenUsed/>
    <w:rsid w:val="002329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32993"/>
  </w:style>
  <w:style w:type="character" w:styleId="Kommentarzeichen">
    <w:name w:val="annotation reference"/>
    <w:basedOn w:val="Absatz-Standardschriftart"/>
    <w:uiPriority w:val="99"/>
    <w:semiHidden/>
    <w:unhideWhenUsed/>
    <w:rsid w:val="00E8113E"/>
    <w:rPr>
      <w:sz w:val="16"/>
      <w:szCs w:val="16"/>
    </w:rPr>
  </w:style>
  <w:style w:type="paragraph" w:styleId="Kommentartext">
    <w:name w:val="annotation text"/>
    <w:basedOn w:val="Standard"/>
    <w:link w:val="KommentartextZchn"/>
    <w:uiPriority w:val="99"/>
    <w:semiHidden/>
    <w:unhideWhenUsed/>
    <w:rsid w:val="00E8113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8113E"/>
    <w:rPr>
      <w:sz w:val="20"/>
      <w:szCs w:val="20"/>
    </w:rPr>
  </w:style>
  <w:style w:type="paragraph" w:styleId="Kommentarthema">
    <w:name w:val="annotation subject"/>
    <w:basedOn w:val="Kommentartext"/>
    <w:next w:val="Kommentartext"/>
    <w:link w:val="KommentarthemaZchn"/>
    <w:uiPriority w:val="99"/>
    <w:semiHidden/>
    <w:unhideWhenUsed/>
    <w:rsid w:val="00E8113E"/>
    <w:rPr>
      <w:b/>
      <w:bCs/>
    </w:rPr>
  </w:style>
  <w:style w:type="character" w:customStyle="1" w:styleId="KommentarthemaZchn">
    <w:name w:val="Kommentarthema Zchn"/>
    <w:basedOn w:val="KommentartextZchn"/>
    <w:link w:val="Kommentarthema"/>
    <w:uiPriority w:val="99"/>
    <w:semiHidden/>
    <w:rsid w:val="00E8113E"/>
    <w:rPr>
      <w:b/>
      <w:bCs/>
      <w:sz w:val="20"/>
      <w:szCs w:val="20"/>
    </w:rPr>
  </w:style>
  <w:style w:type="character" w:customStyle="1" w:styleId="berschrift1Zchn">
    <w:name w:val="Überschrift 1 Zchn"/>
    <w:aliases w:val="woa-h1-new Zchn,Tirift 1 Zchn,eu_u1_neu Zchn,überschrift 1 Zchn,heading1 Zchn,OFP1 Zchn,heading 1 Zchn"/>
    <w:basedOn w:val="Absatz-Standardschriftart"/>
    <w:link w:val="berschrift1"/>
    <w:rsid w:val="00ED358F"/>
    <w:rPr>
      <w:rFonts w:ascii="Gill Sans MT" w:eastAsia="MS Mincho" w:hAnsi="Gill Sans MT" w:cs="Times New Roman"/>
      <w:b/>
      <w:color w:val="000000"/>
      <w:sz w:val="28"/>
      <w:szCs w:val="20"/>
      <w:lang w:val="en-GB" w:eastAsia="de-CH"/>
    </w:rPr>
  </w:style>
  <w:style w:type="paragraph" w:customStyle="1" w:styleId="fiblmodul">
    <w:name w:val="fibl_modul"/>
    <w:basedOn w:val="Standard"/>
    <w:next w:val="Standard"/>
    <w:semiHidden/>
    <w:qFormat/>
    <w:rsid w:val="00ED358F"/>
    <w:pPr>
      <w:numPr>
        <w:numId w:val="5"/>
      </w:numPr>
      <w:tabs>
        <w:tab w:val="clear" w:pos="720"/>
        <w:tab w:val="num" w:pos="360"/>
      </w:tabs>
      <w:spacing w:after="360" w:line="400" w:lineRule="atLeast"/>
      <w:ind w:left="0" w:firstLine="0"/>
      <w:contextualSpacing/>
    </w:pPr>
    <w:rPr>
      <w:rFonts w:ascii="Times" w:eastAsia="Times New Roman" w:hAnsi="Times" w:cs="Arial"/>
      <w:b/>
      <w:color w:val="00B091"/>
      <w:sz w:val="36"/>
      <w:szCs w:val="32"/>
      <w:lang w:val="en-GB" w:eastAsia="de-CH"/>
    </w:rPr>
  </w:style>
  <w:style w:type="paragraph" w:customStyle="1" w:styleId="spacer">
    <w:name w:val="spacer"/>
    <w:basedOn w:val="Standard"/>
    <w:semiHidden/>
    <w:qFormat/>
    <w:rsid w:val="00ED358F"/>
    <w:pPr>
      <w:tabs>
        <w:tab w:val="right" w:pos="9360"/>
      </w:tabs>
      <w:spacing w:after="0" w:line="240" w:lineRule="auto"/>
    </w:pPr>
    <w:rPr>
      <w:rFonts w:ascii="Times" w:eastAsia="Times New Roman" w:hAnsi="Times" w:cs="Times New Roman"/>
      <w:sz w:val="4"/>
      <w:szCs w:val="4"/>
      <w:lang w:val="en-GB" w:eastAsia="de-CH"/>
    </w:rPr>
  </w:style>
  <w:style w:type="paragraph" w:customStyle="1" w:styleId="woa-table-headline">
    <w:name w:val="woa-table-headline"/>
    <w:basedOn w:val="Standard"/>
    <w:next w:val="Standard"/>
    <w:link w:val="woa-table-headlineChar"/>
    <w:rsid w:val="00ED358F"/>
    <w:pPr>
      <w:keepNext/>
      <w:tabs>
        <w:tab w:val="left" w:pos="3060"/>
        <w:tab w:val="left" w:pos="6120"/>
      </w:tabs>
      <w:spacing w:before="240" w:after="120" w:line="240" w:lineRule="auto"/>
      <w:jc w:val="both"/>
    </w:pPr>
    <w:rPr>
      <w:rFonts w:ascii="Gill Sans MT" w:eastAsia="MS Mincho" w:hAnsi="Gill Sans MT" w:cs="Arial"/>
      <w:b/>
      <w:snapToGrid w:val="0"/>
      <w:color w:val="000000"/>
      <w:sz w:val="18"/>
      <w:lang w:val="en-US" w:eastAsia="de-CH"/>
    </w:rPr>
  </w:style>
  <w:style w:type="paragraph" w:customStyle="1" w:styleId="woa-table-text">
    <w:name w:val="woa-table-text"/>
    <w:basedOn w:val="Standard"/>
    <w:link w:val="woa-table-textChar"/>
    <w:qFormat/>
    <w:rsid w:val="00ED358F"/>
    <w:pPr>
      <w:keepLines/>
      <w:tabs>
        <w:tab w:val="left" w:pos="3060"/>
        <w:tab w:val="left" w:pos="6120"/>
      </w:tabs>
      <w:spacing w:before="20" w:after="20" w:line="240" w:lineRule="auto"/>
    </w:pPr>
    <w:rPr>
      <w:rFonts w:ascii="Gill Sans MT" w:eastAsia="MS Mincho" w:hAnsi="Gill Sans MT" w:cs="Times New Roman"/>
      <w:snapToGrid w:val="0"/>
      <w:color w:val="000000"/>
      <w:sz w:val="15"/>
      <w:szCs w:val="12"/>
      <w:lang w:val="en-US" w:eastAsia="x-none"/>
    </w:rPr>
  </w:style>
  <w:style w:type="paragraph" w:styleId="Aufzhlungszeichen3">
    <w:name w:val="List Bullet 3"/>
    <w:basedOn w:val="Standard"/>
    <w:autoRedefine/>
    <w:semiHidden/>
    <w:rsid w:val="00ED358F"/>
    <w:pPr>
      <w:numPr>
        <w:numId w:val="6"/>
      </w:numPr>
      <w:spacing w:after="0" w:line="240" w:lineRule="auto"/>
    </w:pPr>
    <w:rPr>
      <w:rFonts w:ascii="Times" w:eastAsia="Times New Roman" w:hAnsi="Times" w:cs="Times New Roman"/>
      <w:sz w:val="20"/>
      <w:szCs w:val="20"/>
      <w:lang w:val="en-GB" w:eastAsia="de-CH"/>
    </w:rPr>
  </w:style>
  <w:style w:type="character" w:customStyle="1" w:styleId="woa-table-textChar">
    <w:name w:val="woa-table-text Char"/>
    <w:link w:val="woa-table-text"/>
    <w:rsid w:val="00ED358F"/>
    <w:rPr>
      <w:rFonts w:ascii="Gill Sans MT" w:eastAsia="MS Mincho" w:hAnsi="Gill Sans MT" w:cs="Times New Roman"/>
      <w:snapToGrid w:val="0"/>
      <w:color w:val="000000"/>
      <w:sz w:val="15"/>
      <w:szCs w:val="12"/>
      <w:lang w:val="en-US" w:eastAsia="x-none"/>
    </w:rPr>
  </w:style>
  <w:style w:type="character" w:customStyle="1" w:styleId="woa-table-headlineChar">
    <w:name w:val="woa-table-headline Char"/>
    <w:link w:val="woa-table-headline"/>
    <w:rsid w:val="00ED358F"/>
    <w:rPr>
      <w:rFonts w:ascii="Gill Sans MT" w:eastAsia="MS Mincho" w:hAnsi="Gill Sans MT" w:cs="Arial"/>
      <w:b/>
      <w:snapToGrid w:val="0"/>
      <w:color w:val="000000"/>
      <w:sz w:val="18"/>
      <w:lang w:val="en-US" w:eastAsia="de-CH"/>
    </w:rPr>
  </w:style>
  <w:style w:type="table" w:customStyle="1" w:styleId="woatable">
    <w:name w:val="woa_table"/>
    <w:basedOn w:val="NormaleTabelle"/>
    <w:uiPriority w:val="63"/>
    <w:rsid w:val="00ED358F"/>
    <w:pPr>
      <w:spacing w:before="20" w:after="20" w:line="240" w:lineRule="auto"/>
    </w:pPr>
    <w:rPr>
      <w:rFonts w:ascii="Gill Sans MT" w:eastAsia="Calibri" w:hAnsi="Gill Sans MT" w:cs="Times New Roman"/>
      <w:sz w:val="15"/>
      <w:lang w:val="en-GB" w:eastAsia="en-US"/>
    </w:rPr>
    <w:tblPr>
      <w:tblStyleRowBandSize w:val="1"/>
      <w:tblStyleColBandSize w:val="1"/>
      <w:tblBorders>
        <w:bottom w:val="single" w:sz="8" w:space="0" w:color="256C8E"/>
      </w:tblBorders>
    </w:tblPr>
    <w:tblStylePr w:type="firstRow">
      <w:pPr>
        <w:wordWrap/>
        <w:spacing w:beforeLines="20" w:before="20" w:beforeAutospacing="0" w:afterLines="20" w:after="20" w:afterAutospacing="0" w:line="240" w:lineRule="auto"/>
      </w:pPr>
      <w:rPr>
        <w:rFonts w:ascii="Gill Sans MT" w:hAnsi="Gill Sans MT"/>
        <w:b w:val="0"/>
        <w:bCs/>
        <w:color w:val="auto"/>
        <w:sz w:val="15"/>
      </w:rPr>
      <w:tblPr/>
      <w:tcPr>
        <w:tcBorders>
          <w:top w:val="single" w:sz="8" w:space="0" w:color="2F6C86"/>
          <w:bottom w:val="single" w:sz="8" w:space="0" w:color="2F6C86"/>
        </w:tcBorders>
        <w:shd w:val="clear" w:color="auto" w:fill="FFFFFF" w:themeFill="background1"/>
      </w:tcPr>
    </w:tblStylePr>
    <w:tblStylePr w:type="lastRow">
      <w:pPr>
        <w:spacing w:before="0" w:after="0" w:line="240" w:lineRule="auto"/>
      </w:pPr>
      <w:rPr>
        <w:b w:val="0"/>
        <w:bCs/>
      </w:rPr>
      <w:tblPr/>
      <w:tcPr>
        <w:tcBorders>
          <w:top w:val="nil"/>
          <w:left w:val="nil"/>
          <w:bottom w:val="single" w:sz="6" w:space="0" w:color="2F6C86"/>
          <w:right w:val="nil"/>
          <w:insideH w:val="nil"/>
          <w:insideV w:val="nil"/>
          <w:tl2br w:val="nil"/>
          <w:tr2bl w:val="nil"/>
        </w:tcBorders>
      </w:tcPr>
    </w:tblStylePr>
    <w:tblStylePr w:type="firstCol">
      <w:rPr>
        <w:b w:val="0"/>
        <w:bCs/>
      </w:rPr>
    </w:tblStylePr>
    <w:tblStylePr w:type="lastCol">
      <w:rPr>
        <w:b w:val="0"/>
        <w:bCs/>
      </w:rPr>
      <w:tblPr/>
      <w:tcPr>
        <w:tcBorders>
          <w:top w:val="nil"/>
          <w:left w:val="nil"/>
          <w:bottom w:val="single" w:sz="6" w:space="0" w:color="2F6C86"/>
          <w:right w:val="nil"/>
          <w:insideH w:val="nil"/>
          <w:insideV w:val="nil"/>
          <w:tl2br w:val="nil"/>
          <w:tr2bl w:val="nil"/>
        </w:tcBorders>
      </w:tcPr>
    </w:tblStylePr>
    <w:tblStylePr w:type="band1Vert">
      <w:tblPr/>
      <w:tcPr>
        <w:shd w:val="clear" w:color="auto" w:fill="E1EDF2"/>
      </w:tcPr>
    </w:tblStylePr>
    <w:tblStylePr w:type="band1Horz">
      <w:tblPr/>
      <w:tcPr>
        <w:shd w:val="clear" w:color="auto" w:fill="E1EDF2"/>
      </w:tcPr>
    </w:tblStylePr>
    <w:tblStylePr w:type="band2Horz">
      <w:tblPr/>
      <w:tcPr>
        <w:tcBorders>
          <w:insideH w:val="nil"/>
          <w:insideV w:val="nil"/>
        </w:tcBorders>
      </w:tcPr>
    </w:tblStylePr>
  </w:style>
  <w:style w:type="paragraph" w:styleId="Zitat">
    <w:name w:val="Quote"/>
    <w:basedOn w:val="Standard"/>
    <w:next w:val="Standard"/>
    <w:link w:val="ZitatZchn"/>
    <w:uiPriority w:val="29"/>
    <w:qFormat/>
    <w:rsid w:val="00ED358F"/>
    <w:rPr>
      <w:i/>
      <w:iCs/>
      <w:color w:val="000000" w:themeColor="text1"/>
    </w:rPr>
  </w:style>
  <w:style w:type="character" w:customStyle="1" w:styleId="ZitatZchn">
    <w:name w:val="Zitat Zchn"/>
    <w:basedOn w:val="Absatz-Standardschriftart"/>
    <w:link w:val="Zitat"/>
    <w:uiPriority w:val="29"/>
    <w:rsid w:val="00ED358F"/>
    <w:rPr>
      <w:i/>
      <w:iCs/>
      <w:color w:val="000000" w:themeColor="text1"/>
    </w:rPr>
  </w:style>
  <w:style w:type="paragraph" w:customStyle="1" w:styleId="eulogos">
    <w:name w:val="eu_logos"/>
    <w:basedOn w:val="Standard"/>
    <w:semiHidden/>
    <w:qFormat/>
    <w:rsid w:val="0029632A"/>
    <w:pPr>
      <w:framePr w:w="8618" w:h="2268" w:hRule="exact" w:wrap="around" w:hAnchor="margin" w:yAlign="top" w:anchorLock="1"/>
      <w:shd w:val="solid" w:color="FFFFFF" w:fill="FFFFFF"/>
      <w:tabs>
        <w:tab w:val="left" w:pos="3060"/>
        <w:tab w:val="left" w:pos="6120"/>
      </w:tabs>
      <w:spacing w:before="80" w:after="80" w:line="240" w:lineRule="auto"/>
      <w:jc w:val="right"/>
    </w:pPr>
    <w:rPr>
      <w:rFonts w:ascii="Palatino Linotype" w:eastAsia="MS Mincho" w:hAnsi="Palatino Linotype" w:cs="Times New Roman"/>
      <w:snapToGrid w:val="0"/>
      <w:sz w:val="19"/>
      <w:szCs w:val="18"/>
      <w:lang w:val="en-GB" w:eastAsia="x-none"/>
    </w:rPr>
  </w:style>
  <w:style w:type="character" w:customStyle="1" w:styleId="NichtaufgelsteErwhnung1">
    <w:name w:val="Nicht aufgelöste Erwähnung1"/>
    <w:basedOn w:val="Absatz-Standardschriftart"/>
    <w:uiPriority w:val="99"/>
    <w:semiHidden/>
    <w:unhideWhenUsed/>
    <w:rsid w:val="00E7130C"/>
    <w:rPr>
      <w:color w:val="605E5C"/>
      <w:shd w:val="clear" w:color="auto" w:fill="E1DFDD"/>
    </w:rPr>
  </w:style>
  <w:style w:type="character" w:customStyle="1" w:styleId="UnresolvedMention1">
    <w:name w:val="Unresolved Mention1"/>
    <w:basedOn w:val="Absatz-Standardschriftart"/>
    <w:uiPriority w:val="99"/>
    <w:semiHidden/>
    <w:unhideWhenUsed/>
    <w:rsid w:val="002C17B5"/>
    <w:rPr>
      <w:color w:val="605E5C"/>
      <w:shd w:val="clear" w:color="auto" w:fill="E1DFDD"/>
    </w:rPr>
  </w:style>
  <w:style w:type="character" w:customStyle="1" w:styleId="Mention1">
    <w:name w:val="Mention1"/>
    <w:basedOn w:val="Absatz-Standardschriftart"/>
    <w:uiPriority w:val="99"/>
    <w:unhideWhenUsed/>
    <w:rPr>
      <w:color w:val="2B579A"/>
      <w:shd w:val="clear" w:color="auto" w:fill="E6E6E6"/>
    </w:rPr>
  </w:style>
  <w:style w:type="paragraph" w:styleId="berarbeitung">
    <w:name w:val="Revision"/>
    <w:hidden/>
    <w:uiPriority w:val="99"/>
    <w:semiHidden/>
    <w:rsid w:val="00073330"/>
    <w:pPr>
      <w:spacing w:after="0" w:line="240" w:lineRule="auto"/>
    </w:pPr>
  </w:style>
  <w:style w:type="character" w:customStyle="1" w:styleId="NichtaufgelsteErwhnung2">
    <w:name w:val="Nicht aufgelöste Erwähnung2"/>
    <w:basedOn w:val="Absatz-Standardschriftart"/>
    <w:uiPriority w:val="99"/>
    <w:semiHidden/>
    <w:unhideWhenUsed/>
    <w:rsid w:val="00515C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834390">
      <w:bodyDiv w:val="1"/>
      <w:marLeft w:val="0"/>
      <w:marRight w:val="0"/>
      <w:marTop w:val="0"/>
      <w:marBottom w:val="0"/>
      <w:divBdr>
        <w:top w:val="none" w:sz="0" w:space="0" w:color="auto"/>
        <w:left w:val="none" w:sz="0" w:space="0" w:color="auto"/>
        <w:bottom w:val="none" w:sz="0" w:space="0" w:color="auto"/>
        <w:right w:val="none" w:sz="0" w:space="0" w:color="auto"/>
      </w:divBdr>
    </w:div>
    <w:div w:id="153108419">
      <w:bodyDiv w:val="1"/>
      <w:marLeft w:val="0"/>
      <w:marRight w:val="0"/>
      <w:marTop w:val="0"/>
      <w:marBottom w:val="0"/>
      <w:divBdr>
        <w:top w:val="none" w:sz="0" w:space="0" w:color="auto"/>
        <w:left w:val="none" w:sz="0" w:space="0" w:color="auto"/>
        <w:bottom w:val="none" w:sz="0" w:space="0" w:color="auto"/>
        <w:right w:val="none" w:sz="0" w:space="0" w:color="auto"/>
      </w:divBdr>
    </w:div>
    <w:div w:id="821121643">
      <w:bodyDiv w:val="1"/>
      <w:marLeft w:val="0"/>
      <w:marRight w:val="0"/>
      <w:marTop w:val="0"/>
      <w:marBottom w:val="0"/>
      <w:divBdr>
        <w:top w:val="none" w:sz="0" w:space="0" w:color="auto"/>
        <w:left w:val="none" w:sz="0" w:space="0" w:color="auto"/>
        <w:bottom w:val="none" w:sz="0" w:space="0" w:color="auto"/>
        <w:right w:val="none" w:sz="0" w:space="0" w:color="auto"/>
      </w:divBdr>
    </w:div>
    <w:div w:id="886338905">
      <w:bodyDiv w:val="1"/>
      <w:marLeft w:val="0"/>
      <w:marRight w:val="0"/>
      <w:marTop w:val="0"/>
      <w:marBottom w:val="0"/>
      <w:divBdr>
        <w:top w:val="none" w:sz="0" w:space="0" w:color="auto"/>
        <w:left w:val="none" w:sz="0" w:space="0" w:color="auto"/>
        <w:bottom w:val="none" w:sz="0" w:space="0" w:color="auto"/>
        <w:right w:val="none" w:sz="0" w:space="0" w:color="auto"/>
      </w:divBdr>
    </w:div>
    <w:div w:id="1782527878">
      <w:bodyDiv w:val="1"/>
      <w:marLeft w:val="0"/>
      <w:marRight w:val="0"/>
      <w:marTop w:val="0"/>
      <w:marBottom w:val="0"/>
      <w:divBdr>
        <w:top w:val="none" w:sz="0" w:space="0" w:color="auto"/>
        <w:left w:val="none" w:sz="0" w:space="0" w:color="auto"/>
        <w:bottom w:val="none" w:sz="0" w:space="0" w:color="auto"/>
        <w:right w:val="none" w:sz="0" w:space="0" w:color="auto"/>
      </w:divBdr>
    </w:div>
    <w:div w:id="2027243744">
      <w:bodyDiv w:val="1"/>
      <w:marLeft w:val="0"/>
      <w:marRight w:val="0"/>
      <w:marTop w:val="0"/>
      <w:marBottom w:val="0"/>
      <w:divBdr>
        <w:top w:val="none" w:sz="0" w:space="0" w:color="auto"/>
        <w:left w:val="none" w:sz="0" w:space="0" w:color="auto"/>
        <w:bottom w:val="none" w:sz="0" w:space="0" w:color="auto"/>
        <w:right w:val="none" w:sz="0" w:space="0" w:color="auto"/>
      </w:divBdr>
    </w:div>
    <w:div w:id="204721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rganicseurope.bio/content/uploads/2020/12/ifoameu_policy_OAP_25-organic-land-by-2030_202012-1.pdf?dd" TargetMode="External"/><Relationship Id="rId18" Type="http://schemas.openxmlformats.org/officeDocument/2006/relationships/hyperlink" Target="https://www.organic-world.net/yearbook/yearbook-2021/infographics.html" TargetMode="External"/><Relationship Id="rId26" Type="http://schemas.openxmlformats.org/officeDocument/2006/relationships/image" Target="media/image6.jpg"/><Relationship Id="rId3" Type="http://schemas.openxmlformats.org/officeDocument/2006/relationships/customXml" Target="../customXml/item3.xml"/><Relationship Id="rId21" Type="http://schemas.openxmlformats.org/officeDocument/2006/relationships/hyperlink" Target="https://www.fibl.org/en/info-centre/media.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organic-world.net/yearbook/yearbook-2021.html" TargetMode="External"/><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mailto:eva.berckmans@organicseurope.bio" TargetMode="External"/><Relationship Id="rId20" Type="http://schemas.openxmlformats.org/officeDocument/2006/relationships/hyperlink" Target="https://biofach.fibl.org/en/biofach-all/biofach-2021.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4.png"/><Relationship Id="rId37"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mailto:diana.schaack@ami-informiert.de" TargetMode="External"/><Relationship Id="rId23" Type="http://schemas.openxmlformats.org/officeDocument/2006/relationships/hyperlink" Target="http://www.youtube.com/watch?v=U84NrJlORFc" TargetMode="External"/><Relationship Id="rId28" Type="http://schemas.openxmlformats.org/officeDocument/2006/relationships/footer" Target="footer2.xml"/><Relationship Id="rId36"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s://statistics.fibl.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lga.willer@fibl.org" TargetMode="External"/><Relationship Id="rId22" Type="http://schemas.openxmlformats.org/officeDocument/2006/relationships/hyperlink" Target="http://www.fibl.org" TargetMode="External"/><Relationship Id="rId27" Type="http://schemas.openxmlformats.org/officeDocument/2006/relationships/image" Target="media/image7.jpg"/><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F90879D6-648D-4612-A213-76FA3BF91C61}">
    <t:Anchor>
      <t:Comment id="2035650092"/>
    </t:Anchor>
    <t:History>
      <t:Event id="{206CBA1F-3676-479D-A6BB-338924EBB232}" time="2021-02-15T15:36:21.641Z">
        <t:Attribution userId="S::eduardo.cuoco@organicseurope.bio::2f9cd408-62e5-4395-9009-741ed70bbe77" userProvider="AD" userName="Eduardo Cuoco"/>
        <t:Anchor>
          <t:Comment id="2035650092"/>
        </t:Anchor>
        <t:Create/>
      </t:Event>
      <t:Event id="{DEF6C42F-9852-4CE0-9525-877F37F3E9FD}" time="2021-02-15T15:36:21.641Z">
        <t:Attribution userId="S::eduardo.cuoco@organicseurope.bio::2f9cd408-62e5-4395-9009-741ed70bbe77" userProvider="AD" userName="Eduardo Cuoco"/>
        <t:Anchor>
          <t:Comment id="2035650092"/>
        </t:Anchor>
        <t:Assign userId="S::eva.berckmans@organicseurope.bio::8713c38b-55e5-497e-8d3e-e621cb39ebf9" userProvider="AD" userName="Eva Berckmans"/>
      </t:Event>
      <t:Event id="{631C10D3-BBC5-43E6-8834-1E7E4204DD4F}" time="2021-02-15T15:36:21.641Z">
        <t:Attribution userId="S::eduardo.cuoco@organicseurope.bio::2f9cd408-62e5-4395-9009-741ed70bbe77" userProvider="AD" userName="Eduardo Cuoco"/>
        <t:Anchor>
          <t:Comment id="2035650092"/>
        </t:Anchor>
        <t:SetTitle title="I propose a new formulation. It should be re-read. @Eva Berckmans"/>
      </t:Event>
    </t:History>
  </t:Task>
</t:Task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D6E393F-BC3E-7B4F-9074-94C6B0F24F3B}">
  <we:reference id="wa200001011" version="1.1.0.0" store="en-001" storeType="OMEX"/>
  <we:alternateReferences>
    <we:reference id="WA200001011"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0B5DEB9429A54CBC3F176570DAF5C2" ma:contentTypeVersion="6" ma:contentTypeDescription="Create a new document." ma:contentTypeScope="" ma:versionID="c6a50493e7e071e5d3ec03e585a8f0b1">
  <xsd:schema xmlns:xsd="http://www.w3.org/2001/XMLSchema" xmlns:xs="http://www.w3.org/2001/XMLSchema" xmlns:p="http://schemas.microsoft.com/office/2006/metadata/properties" xmlns:ns2="66e51a43-3444-4728-b37c-b7e07c4f25e4" xmlns:ns3="ee201ea7-6ad6-4cb0-8541-d063b28b84a0" targetNamespace="http://schemas.microsoft.com/office/2006/metadata/properties" ma:root="true" ma:fieldsID="16c3cebcf38e8b65f0e56a570f1a82fb" ns2:_="" ns3:_="">
    <xsd:import namespace="66e51a43-3444-4728-b37c-b7e07c4f25e4"/>
    <xsd:import namespace="ee201ea7-6ad6-4cb0-8541-d063b28b84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51a43-3444-4728-b37c-b7e07c4f25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201ea7-6ad6-4cb0-8541-d063b28b84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F9D1D-CE48-40BB-9E6D-F3B9BD6BBEDF}">
  <ds:schemaRefs>
    <ds:schemaRef ds:uri="http://schemas.microsoft.com/sharepoint/v3/contenttype/forms"/>
  </ds:schemaRefs>
</ds:datastoreItem>
</file>

<file path=customXml/itemProps2.xml><?xml version="1.0" encoding="utf-8"?>
<ds:datastoreItem xmlns:ds="http://schemas.openxmlformats.org/officeDocument/2006/customXml" ds:itemID="{102FBA82-BCFB-4CA9-863B-49C3D590B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51a43-3444-4728-b37c-b7e07c4f25e4"/>
    <ds:schemaRef ds:uri="ee201ea7-6ad6-4cb0-8541-d063b28b84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ABA549-99F8-4875-885B-68DEBC2BF4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E00EFA-684C-4B59-AAC9-55152FBAC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1480</Words>
  <Characters>9324</Characters>
  <Application>Microsoft Office Word</Application>
  <DocSecurity>0</DocSecurity>
  <Lines>77</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Media release "European organic market grew to €45 billion in 2019"</vt:lpstr>
      <vt:lpstr>Media release "European organic market grew to 40.7 billion euros in 2018"</vt:lpstr>
    </vt:vector>
  </TitlesOfParts>
  <Company/>
  <LinksUpToDate>false</LinksUpToDate>
  <CharactersWithSpaces>10783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release "European organic market grew to €45 billion in 2019"</dc:title>
  <dc:creator>Basler Andreas</dc:creator>
  <cp:lastModifiedBy>Basler Andreas</cp:lastModifiedBy>
  <cp:revision>6</cp:revision>
  <cp:lastPrinted>2021-02-17T08:45:00Z</cp:lastPrinted>
  <dcterms:created xsi:type="dcterms:W3CDTF">2021-02-16T16:37:00Z</dcterms:created>
  <dcterms:modified xsi:type="dcterms:W3CDTF">2021-02-17T08:46:00Z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0x010100220B5DEB9429A54CBC3F176570DAF5C2</vt:lpwstr>
  </property>
  <property fmtid="{D5CDD505-2E9C-101B-9397-08002B2CF9AE}" pid="3" name="grammarly_documentId">
    <vt:lpwstr>documentId_9932</vt:lpwstr>
  </property>
  <property fmtid="{D5CDD505-2E9C-101B-9397-08002B2CF9AE}" pid="4" name="grammarly_documentContext">
    <vt:lpwstr>{"goals":[],"domain":"general","emotions":[],"dialect":"british"}</vt:lpwstr>
  </property>
</Properties>
</file>