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94" w:rsidRPr="00934601" w:rsidRDefault="006A6994" w:rsidP="00F94D0B">
      <w:pPr>
        <w:rPr>
          <w:rFonts w:cs="Arial"/>
          <w:b/>
          <w:bCs/>
          <w:kern w:val="36"/>
          <w:sz w:val="36"/>
          <w:szCs w:val="36"/>
          <w:lang w:val="en-GB"/>
        </w:rPr>
      </w:pPr>
      <w:r w:rsidRPr="00934601">
        <w:rPr>
          <w:rFonts w:cs="Arial"/>
          <w:b/>
          <w:bCs/>
          <w:kern w:val="36"/>
          <w:sz w:val="36"/>
          <w:szCs w:val="36"/>
          <w:lang w:val="en-GB"/>
        </w:rPr>
        <w:t>Media Release</w:t>
      </w:r>
      <w:r>
        <w:rPr>
          <w:rFonts w:cs="Arial"/>
          <w:b/>
          <w:bCs/>
          <w:kern w:val="36"/>
          <w:sz w:val="36"/>
          <w:szCs w:val="36"/>
          <w:lang w:val="en-GB"/>
        </w:rPr>
        <w:t xml:space="preserve"> including graphs</w:t>
      </w:r>
    </w:p>
    <w:p w:rsidR="006A6994" w:rsidRPr="00DF5821" w:rsidRDefault="006A6994" w:rsidP="00F94D0B">
      <w:pPr>
        <w:rPr>
          <w:rFonts w:cs="Arial"/>
          <w:bCs/>
          <w:i/>
          <w:kern w:val="36"/>
          <w:sz w:val="28"/>
          <w:szCs w:val="28"/>
          <w:lang w:val="en-GB"/>
        </w:rPr>
      </w:pPr>
      <w:r w:rsidRPr="00F94D0B">
        <w:rPr>
          <w:rFonts w:cs="Arial"/>
          <w:bCs/>
          <w:kern w:val="36"/>
          <w:sz w:val="28"/>
          <w:szCs w:val="28"/>
          <w:lang w:val="en-GB"/>
        </w:rPr>
        <w:t xml:space="preserve">Global Organic Statistics 2014 and </w:t>
      </w:r>
      <w:r w:rsidRPr="00DF5821">
        <w:rPr>
          <w:rFonts w:cs="Arial"/>
          <w:bCs/>
          <w:i/>
          <w:kern w:val="36"/>
          <w:sz w:val="28"/>
          <w:szCs w:val="28"/>
          <w:lang w:val="en-GB"/>
        </w:rPr>
        <w:t>Organic 3.0</w:t>
      </w:r>
    </w:p>
    <w:p w:rsidR="006A6994" w:rsidRPr="00ED7BFC" w:rsidRDefault="006A6994" w:rsidP="00ED7BFC">
      <w:pPr>
        <w:rPr>
          <w:rFonts w:cs="Arial"/>
          <w:b/>
          <w:bCs/>
          <w:kern w:val="36"/>
          <w:sz w:val="32"/>
          <w:szCs w:val="32"/>
          <w:lang w:val="en-GB"/>
        </w:rPr>
      </w:pPr>
      <w:r>
        <w:rPr>
          <w:rFonts w:cs="Arial"/>
          <w:b/>
          <w:bCs/>
          <w:kern w:val="36"/>
          <w:sz w:val="32"/>
          <w:szCs w:val="32"/>
          <w:lang w:val="en-GB"/>
        </w:rPr>
        <w:t>Growing Organic A</w:t>
      </w:r>
      <w:r w:rsidRPr="00ED7BFC">
        <w:rPr>
          <w:rFonts w:cs="Arial"/>
          <w:b/>
          <w:bCs/>
          <w:kern w:val="36"/>
          <w:sz w:val="32"/>
          <w:szCs w:val="32"/>
          <w:lang w:val="en-GB"/>
        </w:rPr>
        <w:t>griculture</w:t>
      </w:r>
      <w:r>
        <w:rPr>
          <w:rFonts w:cs="Arial"/>
          <w:b/>
          <w:bCs/>
          <w:kern w:val="36"/>
          <w:sz w:val="32"/>
          <w:szCs w:val="32"/>
          <w:lang w:val="en-GB"/>
        </w:rPr>
        <w:t xml:space="preserve"> Sector Explores its Future</w:t>
      </w:r>
    </w:p>
    <w:p w:rsidR="006A6994" w:rsidRPr="00774097" w:rsidRDefault="00920927" w:rsidP="00B029B0">
      <w:pPr>
        <w:spacing w:before="100" w:beforeAutospacing="1" w:after="100" w:afterAutospacing="1" w:line="360" w:lineRule="exact"/>
        <w:jc w:val="both"/>
        <w:rPr>
          <w:b/>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152400</wp:posOffset>
                </wp:positionV>
                <wp:extent cx="1485900" cy="1371600"/>
                <wp:effectExtent l="0" t="0" r="0" b="0"/>
                <wp:wrapSquare wrapText="bothSides"/>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371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6A6994" w:rsidRPr="004953B4" w:rsidRDefault="006A6994" w:rsidP="00F94D0B">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2"/>
                              <w:rPr>
                                <w:rFonts w:ascii="Calibri" w:hAnsi="Calibri"/>
                                <w:b/>
                                <w:i/>
                                <w:sz w:val="20"/>
                                <w:lang w:val="en-US"/>
                              </w:rPr>
                            </w:pPr>
                            <w:r w:rsidRPr="004953B4">
                              <w:rPr>
                                <w:rFonts w:ascii="Calibri" w:hAnsi="Calibri"/>
                                <w:b/>
                                <w:i/>
                                <w:sz w:val="20"/>
                                <w:lang w:val="en-US"/>
                              </w:rPr>
                              <w:t xml:space="preserve">FiBL and IFOAM present the latest facts and figures about Organic Agriculture at BIOFACH in Nürnberg on Wednesday, February 12, 2014, 4 to 4.45 pm, Room </w:t>
                            </w:r>
                            <w:smartTag w:uri="urn:schemas-microsoft-com:office:smarttags" w:element="City">
                              <w:smartTag w:uri="urn:schemas-microsoft-com:office:smarttags" w:element="place">
                                <w:r w:rsidRPr="004953B4">
                                  <w:rPr>
                                    <w:rFonts w:ascii="Calibri" w:hAnsi="Calibri"/>
                                    <w:b/>
                                    <w:i/>
                                    <w:sz w:val="20"/>
                                    <w:lang w:val="en-US"/>
                                  </w:rPr>
                                  <w:t>Istanbul</w:t>
                                </w:r>
                              </w:smartTag>
                            </w:smartTag>
                            <w:r w:rsidRPr="004953B4">
                              <w:rPr>
                                <w:rFonts w:ascii="Calibri" w:hAnsi="Calibri"/>
                                <w:b/>
                                <w:i/>
                                <w:sz w:val="20"/>
                                <w:lang w:val="en-US"/>
                              </w:rPr>
                              <w:t>.</w:t>
                            </w:r>
                            <w:r w:rsidRPr="004953B4">
                              <w:rPr>
                                <w:rFonts w:ascii="Calibri" w:hAnsi="Calibri"/>
                                <w:b/>
                                <w:bCs/>
                                <w:i/>
                                <w:sz w:val="2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1pt;margin-top:12pt;width:117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" filled="f" stroked="f">
                <v:path arrowok="t"/>
                <v:textbox>
                  <w:txbxContent>
                    <w:p w:rsidR="006A6994" w:rsidRPr="004953B4" w:rsidRDefault="006A6994" w:rsidP="00F94D0B">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2"/>
                        <w:rPr>
                          <w:rFonts w:ascii="Calibri" w:hAnsi="Calibri"/>
                          <w:b/>
                          <w:i/>
                          <w:sz w:val="20"/>
                          <w:lang w:val="en-US"/>
                        </w:rPr>
                      </w:pPr>
                      <w:r w:rsidRPr="004953B4">
                        <w:rPr>
                          <w:rFonts w:ascii="Calibri" w:hAnsi="Calibri"/>
                          <w:b/>
                          <w:i/>
                          <w:sz w:val="20"/>
                          <w:lang w:val="en-US"/>
                        </w:rPr>
                        <w:t xml:space="preserve">FiBL and IFOAM present the latest facts and figures about Organic Agriculture at BIOFACH in Nürnberg on Wednesday, February 12, 2014, 4 to 4.45 pm, Room </w:t>
                      </w:r>
                      <w:smartTag w:uri="urn:schemas-microsoft-com:office:smarttags" w:element="City">
                        <w:smartTag w:uri="urn:schemas-microsoft-com:office:smarttags" w:element="place">
                          <w:r w:rsidRPr="004953B4">
                            <w:rPr>
                              <w:rFonts w:ascii="Calibri" w:hAnsi="Calibri"/>
                              <w:b/>
                              <w:i/>
                              <w:sz w:val="20"/>
                              <w:lang w:val="en-US"/>
                            </w:rPr>
                            <w:t>Istanbul</w:t>
                          </w:r>
                        </w:smartTag>
                      </w:smartTag>
                      <w:r w:rsidRPr="004953B4">
                        <w:rPr>
                          <w:rFonts w:ascii="Calibri" w:hAnsi="Calibri"/>
                          <w:b/>
                          <w:i/>
                          <w:sz w:val="20"/>
                          <w:lang w:val="en-US"/>
                        </w:rPr>
                        <w:t>.</w:t>
                      </w:r>
                      <w:r w:rsidRPr="004953B4">
                        <w:rPr>
                          <w:rFonts w:ascii="Calibri" w:hAnsi="Calibri"/>
                          <w:b/>
                          <w:bCs/>
                          <w:i/>
                          <w:sz w:val="20"/>
                          <w:lang w:val="en-US"/>
                        </w:rPr>
                        <w:t xml:space="preserve"> </w:t>
                      </w:r>
                    </w:p>
                  </w:txbxContent>
                </v:textbox>
                <w10:wrap type="square"/>
              </v:shape>
            </w:pict>
          </mc:Fallback>
        </mc:AlternateContent>
      </w:r>
      <w:r w:rsidR="006A6994" w:rsidRPr="00890502">
        <w:rPr>
          <w:rFonts w:cs="Arial"/>
          <w:b/>
          <w:i/>
          <w:sz w:val="24"/>
          <w:szCs w:val="24"/>
          <w:lang w:val="en-GB"/>
        </w:rPr>
        <w:t>Organic 3.0</w:t>
      </w:r>
      <w:r w:rsidR="006A6994" w:rsidRPr="00F94D0B">
        <w:rPr>
          <w:rFonts w:cs="Arial"/>
          <w:b/>
          <w:sz w:val="24"/>
          <w:szCs w:val="24"/>
          <w:lang w:val="en-GB"/>
        </w:rPr>
        <w:t xml:space="preserve"> –</w:t>
      </w:r>
      <w:r w:rsidR="006A6994">
        <w:rPr>
          <w:rFonts w:cs="Arial"/>
          <w:b/>
          <w:sz w:val="24"/>
          <w:szCs w:val="24"/>
          <w:lang w:val="en-GB"/>
        </w:rPr>
        <w:t xml:space="preserve"> </w:t>
      </w:r>
      <w:r w:rsidR="006A6994" w:rsidRPr="0064561A">
        <w:rPr>
          <w:rFonts w:cs="Arial"/>
          <w:b/>
          <w:sz w:val="24"/>
          <w:szCs w:val="24"/>
          <w:lang w:val="en-GB"/>
        </w:rPr>
        <w:t xml:space="preserve">the future of organic – is on the agenda at BIOFACH 2014. 1.9 million certified organic farmers in 164 countries on 37.5 million hectares and a global market for </w:t>
      </w:r>
      <w:r w:rsidR="006A6994" w:rsidRPr="0064561A">
        <w:rPr>
          <w:b/>
          <w:sz w:val="24"/>
          <w:szCs w:val="24"/>
          <w:lang w:val="en-US"/>
        </w:rPr>
        <w:t>organic food of 63.8 billion US dollars is what the organic movement achieved up to the year 2012. The global trend remains positive, but the ambitions of the organic movement go far beyond the present uptake.</w:t>
      </w:r>
      <w:r w:rsidR="006A6994" w:rsidRPr="00774097">
        <w:rPr>
          <w:b/>
          <w:lang w:val="en-US"/>
        </w:rPr>
        <w:t xml:space="preserve"> </w:t>
      </w:r>
    </w:p>
    <w:p w:rsidR="006A6994" w:rsidRPr="003152E2" w:rsidRDefault="006A6994" w:rsidP="00B029B0">
      <w:pPr>
        <w:spacing w:before="100" w:beforeAutospacing="1" w:after="100" w:afterAutospacing="1" w:line="360" w:lineRule="exact"/>
        <w:jc w:val="both"/>
        <w:rPr>
          <w:rFonts w:cs="Arial"/>
          <w:sz w:val="24"/>
          <w:szCs w:val="24"/>
          <w:lang w:val="en-GB"/>
        </w:rPr>
      </w:pPr>
      <w:r>
        <w:rPr>
          <w:lang w:val="en-US"/>
        </w:rPr>
        <w:t xml:space="preserve">(Bonn/Frick/Nürnberg February 11, 2014) </w:t>
      </w:r>
      <w:r w:rsidRPr="00774097">
        <w:rPr>
          <w:lang w:val="en-US"/>
        </w:rPr>
        <w:t xml:space="preserve">The positive trend of the past remains unbroken: Consumer demand increases (with 10 % market growth in the world’s largest organic market, the </w:t>
      </w:r>
      <w:smartTag w:uri="urn:schemas-microsoft-com:office:smarttags" w:element="country-region">
        <w:smartTag w:uri="urn:schemas-microsoft-com:office:smarttags" w:element="place">
          <w:r w:rsidRPr="00774097">
            <w:rPr>
              <w:lang w:val="en-US"/>
            </w:rPr>
            <w:t>US</w:t>
          </w:r>
        </w:smartTag>
      </w:smartTag>
      <w:r w:rsidRPr="00774097">
        <w:rPr>
          <w:lang w:val="en-US"/>
        </w:rPr>
        <w:t xml:space="preserve">), more farmers cultivate organically (+5%) and more land is organically certified (+0.5%) (end of 2012) as shown in the 2014 edition of the FiBL-IFOAM study </w:t>
      </w:r>
      <w:r>
        <w:rPr>
          <w:lang w:val="en-US"/>
        </w:rPr>
        <w:t>“</w:t>
      </w:r>
      <w:r w:rsidRPr="00774097">
        <w:rPr>
          <w:lang w:val="en-US"/>
        </w:rPr>
        <w:t>The World of Organic Agriculture</w:t>
      </w:r>
      <w:r>
        <w:rPr>
          <w:lang w:val="en-US"/>
        </w:rPr>
        <w:t>”</w:t>
      </w:r>
      <w:r w:rsidRPr="00774097">
        <w:rPr>
          <w:lang w:val="en-US"/>
        </w:rPr>
        <w:t>.</w:t>
      </w:r>
      <w:r w:rsidRPr="003152E2">
        <w:rPr>
          <w:lang w:val="en-GB"/>
        </w:rPr>
        <w:t xml:space="preserve"> </w:t>
      </w:r>
    </w:p>
    <w:p w:rsidR="006A6994" w:rsidRPr="003152E2" w:rsidRDefault="006A6994" w:rsidP="00B029B0">
      <w:pPr>
        <w:spacing w:before="100" w:beforeAutospacing="1" w:after="100" w:afterAutospacing="1" w:line="360" w:lineRule="exact"/>
        <w:jc w:val="both"/>
        <w:rPr>
          <w:rFonts w:cs="Arial"/>
          <w:sz w:val="24"/>
          <w:szCs w:val="24"/>
          <w:lang w:val="en-GB"/>
        </w:rPr>
      </w:pPr>
      <w:r w:rsidRPr="00F94D0B">
        <w:rPr>
          <w:i/>
          <w:lang w:val="en-US"/>
        </w:rPr>
        <w:t xml:space="preserve">Organic </w:t>
      </w:r>
      <w:r w:rsidRPr="001E2EF2">
        <w:rPr>
          <w:i/>
          <w:lang w:val="en-US"/>
        </w:rPr>
        <w:t>1.</w:t>
      </w:r>
      <w:r w:rsidRPr="00890502">
        <w:rPr>
          <w:i/>
          <w:lang w:val="en-US"/>
        </w:rPr>
        <w:t>0</w:t>
      </w:r>
      <w:r w:rsidRPr="00F94D0B">
        <w:rPr>
          <w:lang w:val="en-US"/>
        </w:rPr>
        <w:t xml:space="preserve"> is the foundation laid by</w:t>
      </w:r>
      <w:r w:rsidRPr="00F94D0B">
        <w:rPr>
          <w:i/>
          <w:lang w:val="en-US"/>
        </w:rPr>
        <w:t xml:space="preserve"> </w:t>
      </w:r>
      <w:r w:rsidRPr="00F94D0B">
        <w:rPr>
          <w:lang w:val="en-US"/>
        </w:rPr>
        <w:t>organic pioneers of various backgrounds</w:t>
      </w:r>
      <w:r>
        <w:rPr>
          <w:lang w:val="en-US"/>
        </w:rPr>
        <w:t>. The p</w:t>
      </w:r>
      <w:r w:rsidRPr="00F94D0B">
        <w:rPr>
          <w:lang w:val="en-US"/>
        </w:rPr>
        <w:t>ast decades (</w:t>
      </w:r>
      <w:r w:rsidRPr="00890502">
        <w:rPr>
          <w:i/>
          <w:lang w:val="en-US"/>
        </w:rPr>
        <w:t>Organic 2.0</w:t>
      </w:r>
      <w:r w:rsidRPr="00F94D0B">
        <w:rPr>
          <w:lang w:val="en-US"/>
        </w:rPr>
        <w:t>) have seen organic agriculture develop impressively. However,</w:t>
      </w:r>
      <w:r w:rsidRPr="00F94D0B">
        <w:rPr>
          <w:bCs/>
          <w:lang w:val="en-GB"/>
        </w:rPr>
        <w:t xml:space="preserve"> global food production is far away from being sustainable: Poverty, social injustice and hunger prevail in many rural areas. Farmers – despite 2014 being the UN year of family farming - are disempowered. And agriculture contributes significantly to climate change and loss of biodiversity on the planet. Hence, the launch of </w:t>
      </w:r>
      <w:r w:rsidRPr="00890502">
        <w:rPr>
          <w:bCs/>
          <w:i/>
          <w:lang w:val="en-GB"/>
        </w:rPr>
        <w:t>Organic 3.0</w:t>
      </w:r>
      <w:r w:rsidRPr="00F94D0B">
        <w:rPr>
          <w:bCs/>
          <w:lang w:val="en-GB"/>
        </w:rPr>
        <w:t xml:space="preserve"> – with the purpose of strategy building and innovation toward</w:t>
      </w:r>
      <w:r>
        <w:rPr>
          <w:bCs/>
          <w:lang w:val="en-GB"/>
        </w:rPr>
        <w:t>s a</w:t>
      </w:r>
      <w:r w:rsidRPr="00F94D0B">
        <w:rPr>
          <w:bCs/>
          <w:lang w:val="en-GB"/>
        </w:rPr>
        <w:t xml:space="preserve"> more positive impact - at BIOFACH 2014 is well timed.</w:t>
      </w:r>
      <w:r>
        <w:rPr>
          <w:bCs/>
          <w:lang w:val="en-GB"/>
        </w:rPr>
        <w:t xml:space="preserve"> </w:t>
      </w:r>
    </w:p>
    <w:p w:rsidR="006A6994" w:rsidRPr="00F94D0B" w:rsidRDefault="006A6994" w:rsidP="00B029B0">
      <w:pPr>
        <w:spacing w:line="360" w:lineRule="exact"/>
        <w:rPr>
          <w:lang w:val="en-GB"/>
        </w:rPr>
      </w:pPr>
      <w:r w:rsidRPr="00890502">
        <w:rPr>
          <w:i/>
          <w:lang w:val="en-GB"/>
        </w:rPr>
        <w:t>Organic 3.0</w:t>
      </w:r>
      <w:r w:rsidRPr="00F94D0B">
        <w:rPr>
          <w:lang w:val="en-GB"/>
        </w:rPr>
        <w:t xml:space="preserve"> that is: Sustainable use of natural resources rather than exploitation! Focus the strategy on impact rather than on perfection! And full transparency of the value chain rather than green washing! “The holistic nature of organic is an opportunity to address global challenges”, says Markus Arbenz, the Executive Director of IFOAM. “The movement is looking into numerous issues such as </w:t>
      </w:r>
      <w:r>
        <w:rPr>
          <w:lang w:val="en-GB"/>
        </w:rPr>
        <w:t xml:space="preserve">nutrition and human health, </w:t>
      </w:r>
      <w:r w:rsidRPr="00F94D0B">
        <w:rPr>
          <w:lang w:val="en-GB"/>
        </w:rPr>
        <w:t>soil and water conservation, free access to seeds, land ownership, animal welfare</w:t>
      </w:r>
      <w:r>
        <w:rPr>
          <w:lang w:val="en-GB"/>
        </w:rPr>
        <w:t>,</w:t>
      </w:r>
      <w:r w:rsidRPr="00F94D0B">
        <w:rPr>
          <w:lang w:val="en-GB"/>
        </w:rPr>
        <w:t xml:space="preserve"> and it will lobby for true cost accounting and against perverse subsidies. And we need to secure supply </w:t>
      </w:r>
      <w:r>
        <w:rPr>
          <w:lang w:val="en-GB"/>
        </w:rPr>
        <w:t>to</w:t>
      </w:r>
      <w:r w:rsidRPr="00F94D0B">
        <w:rPr>
          <w:lang w:val="en-GB"/>
        </w:rPr>
        <w:t xml:space="preserve"> the market that drives our development.”</w:t>
      </w:r>
    </w:p>
    <w:p w:rsidR="006A6994" w:rsidRPr="00F94D0B" w:rsidRDefault="006A6994" w:rsidP="00B029B0">
      <w:pPr>
        <w:pStyle w:val="berschrift3"/>
        <w:keepNext/>
        <w:spacing w:line="360" w:lineRule="exact"/>
        <w:rPr>
          <w:rFonts w:ascii="Arial" w:hAnsi="Arial" w:cs="Arial"/>
          <w:lang w:val="en-GB"/>
        </w:rPr>
      </w:pPr>
      <w:r w:rsidRPr="00F94D0B">
        <w:rPr>
          <w:rFonts w:ascii="Arial" w:hAnsi="Arial" w:cs="Arial"/>
          <w:lang w:val="en-GB"/>
        </w:rPr>
        <w:lastRenderedPageBreak/>
        <w:t>Global Statistics 2014: The market, the producers, and the area</w:t>
      </w:r>
    </w:p>
    <w:p w:rsidR="006A6994" w:rsidRPr="003152E2" w:rsidRDefault="006A6994" w:rsidP="00B029B0">
      <w:pPr>
        <w:spacing w:before="100" w:beforeAutospacing="1" w:after="100" w:afterAutospacing="1" w:line="360" w:lineRule="exact"/>
        <w:jc w:val="both"/>
        <w:rPr>
          <w:rFonts w:cs="Arial"/>
          <w:sz w:val="24"/>
          <w:szCs w:val="24"/>
          <w:lang w:val="en-GB"/>
        </w:rPr>
      </w:pPr>
      <w:r w:rsidRPr="00020B80">
        <w:rPr>
          <w:lang w:val="en-GB"/>
        </w:rPr>
        <w:t xml:space="preserve">The market research company Organic Monitor estimates the global market for organic products in 2012 reached almost 64 billion US dollars (ca. 50 billion euros). The leading market is the </w:t>
      </w:r>
      <w:smartTag w:uri="urn:schemas-microsoft-com:office:smarttags" w:element="country-region">
        <w:r w:rsidRPr="00020B80">
          <w:rPr>
            <w:lang w:val="en-GB"/>
          </w:rPr>
          <w:t>United States</w:t>
        </w:r>
      </w:smartTag>
      <w:r w:rsidRPr="00020B80">
        <w:rPr>
          <w:lang w:val="en-GB"/>
        </w:rPr>
        <w:t xml:space="preserve"> with 22.6 billion euros, followed by </w:t>
      </w:r>
      <w:smartTag w:uri="urn:schemas-microsoft-com:office:smarttags" w:element="country-region">
        <w:r w:rsidRPr="00020B80">
          <w:rPr>
            <w:lang w:val="en-GB"/>
          </w:rPr>
          <w:t>Germany</w:t>
        </w:r>
      </w:smartTag>
      <w:r w:rsidRPr="00020B80">
        <w:rPr>
          <w:lang w:val="en-GB"/>
        </w:rPr>
        <w:t xml:space="preserve"> (7 billion euros) and </w:t>
      </w:r>
      <w:smartTag w:uri="urn:schemas-microsoft-com:office:smarttags" w:element="place">
        <w:smartTag w:uri="urn:schemas-microsoft-com:office:smarttags" w:element="country-region">
          <w:r w:rsidRPr="00020B80">
            <w:rPr>
              <w:lang w:val="en-GB"/>
            </w:rPr>
            <w:t>France</w:t>
          </w:r>
        </w:smartTag>
      </w:smartTag>
      <w:r w:rsidRPr="00020B80">
        <w:rPr>
          <w:lang w:val="en-GB"/>
        </w:rPr>
        <w:t xml:space="preserve"> (4 billion euros). The countries with the highest per capita spending were </w:t>
      </w:r>
      <w:smartTag w:uri="urn:schemas-microsoft-com:office:smarttags" w:element="country-region">
        <w:r w:rsidRPr="00020B80">
          <w:rPr>
            <w:lang w:val="en-GB"/>
          </w:rPr>
          <w:t>Switzerland</w:t>
        </w:r>
      </w:smartTag>
      <w:r w:rsidRPr="00020B80">
        <w:rPr>
          <w:lang w:val="en-GB"/>
        </w:rPr>
        <w:t xml:space="preserve"> (189 euros) and </w:t>
      </w:r>
      <w:smartTag w:uri="urn:schemas-microsoft-com:office:smarttags" w:element="place">
        <w:smartTag w:uri="urn:schemas-microsoft-com:office:smarttags" w:element="country-region">
          <w:r w:rsidRPr="00020B80">
            <w:rPr>
              <w:lang w:val="en-GB"/>
            </w:rPr>
            <w:t>Denmark</w:t>
          </w:r>
        </w:smartTag>
      </w:smartTag>
      <w:r w:rsidRPr="00020B80">
        <w:rPr>
          <w:lang w:val="en-GB"/>
        </w:rPr>
        <w:t xml:space="preserve"> (159 euros).</w:t>
      </w:r>
      <w:r w:rsidRPr="00020B80" w:rsidDel="00236647">
        <w:rPr>
          <w:lang w:val="en-GB"/>
        </w:rPr>
        <w:t xml:space="preserve"> </w:t>
      </w:r>
    </w:p>
    <w:p w:rsidR="006A6994" w:rsidRPr="003152E2" w:rsidRDefault="006A6994" w:rsidP="00B029B0">
      <w:pPr>
        <w:spacing w:before="100" w:beforeAutospacing="1" w:after="100" w:afterAutospacing="1" w:line="360" w:lineRule="exact"/>
        <w:jc w:val="both"/>
        <w:rPr>
          <w:rFonts w:cs="Arial"/>
          <w:sz w:val="24"/>
          <w:szCs w:val="24"/>
          <w:lang w:val="en-GB"/>
        </w:rPr>
      </w:pPr>
      <w:r w:rsidRPr="00020B80">
        <w:rPr>
          <w:lang w:val="en-GB"/>
        </w:rPr>
        <w:t xml:space="preserve">Moving from consumers to producers, according to the FiBL-IFOAM survey, approximately 80 percent of a global total of 1.9 million organic producers (up from 1.8 million) are located in developing countries. As in previous years, the countries with the most producers are </w:t>
      </w:r>
      <w:smartTag w:uri="urn:schemas-microsoft-com:office:smarttags" w:element="country-region">
        <w:r w:rsidRPr="00020B80">
          <w:rPr>
            <w:lang w:val="en-GB"/>
          </w:rPr>
          <w:t>India</w:t>
        </w:r>
      </w:smartTag>
      <w:r w:rsidRPr="00020B80">
        <w:rPr>
          <w:lang w:val="en-GB"/>
        </w:rPr>
        <w:t xml:space="preserve"> (600’000), </w:t>
      </w:r>
      <w:smartTag w:uri="urn:schemas-microsoft-com:office:smarttags" w:element="country-region">
        <w:r w:rsidRPr="00020B80">
          <w:rPr>
            <w:lang w:val="en-GB"/>
          </w:rPr>
          <w:t>Uganda</w:t>
        </w:r>
      </w:smartTag>
      <w:r w:rsidRPr="00020B80">
        <w:rPr>
          <w:lang w:val="en-GB"/>
        </w:rPr>
        <w:t xml:space="preserve"> (189’610), </w:t>
      </w:r>
      <w:smartTag w:uri="urn:schemas-microsoft-com:office:smarttags" w:element="country-region">
        <w:r w:rsidRPr="00020B80">
          <w:rPr>
            <w:lang w:val="en-GB"/>
          </w:rPr>
          <w:t>Mexico</w:t>
        </w:r>
      </w:smartTag>
      <w:r w:rsidRPr="00020B80">
        <w:rPr>
          <w:lang w:val="en-GB"/>
        </w:rPr>
        <w:t xml:space="preserve"> (169’707), and </w:t>
      </w:r>
      <w:smartTag w:uri="urn:schemas-microsoft-com:office:smarttags" w:element="place">
        <w:smartTag w:uri="urn:schemas-microsoft-com:office:smarttags" w:element="country-region">
          <w:r w:rsidRPr="00020B80">
            <w:rPr>
              <w:lang w:val="en-GB"/>
            </w:rPr>
            <w:t>Tanzania</w:t>
          </w:r>
        </w:smartTag>
      </w:smartTag>
      <w:r w:rsidRPr="00020B80">
        <w:rPr>
          <w:lang w:val="en-GB"/>
        </w:rPr>
        <w:t xml:space="preserve"> (148’610).</w:t>
      </w:r>
      <w:r w:rsidRPr="00B029B0">
        <w:rPr>
          <w:rFonts w:cs="Arial"/>
          <w:sz w:val="24"/>
          <w:szCs w:val="24"/>
          <w:lang w:val="en-GB"/>
        </w:rPr>
        <w:t xml:space="preserve"> </w:t>
      </w:r>
    </w:p>
    <w:p w:rsidR="006A6994" w:rsidRPr="003152E2" w:rsidRDefault="006A6994" w:rsidP="00B029B0">
      <w:pPr>
        <w:spacing w:before="100" w:beforeAutospacing="1" w:after="100" w:afterAutospacing="1" w:line="360" w:lineRule="exact"/>
        <w:jc w:val="both"/>
        <w:rPr>
          <w:rFonts w:cs="Arial"/>
          <w:sz w:val="24"/>
          <w:szCs w:val="24"/>
          <w:lang w:val="en-GB"/>
        </w:rPr>
      </w:pPr>
      <w:r w:rsidRPr="00020B80">
        <w:rPr>
          <w:lang w:val="en-GB"/>
        </w:rPr>
        <w:t>From a farmland perspective, a total of 37.5 million hectares were organic at the end of 2012. An increase of almost 200’000 hectares was reported compared with 20</w:t>
      </w:r>
      <w:r w:rsidR="00DD5C55">
        <w:rPr>
          <w:lang w:val="en-GB"/>
        </w:rPr>
        <w:t>11</w:t>
      </w:r>
      <w:r w:rsidRPr="00020B80">
        <w:rPr>
          <w:lang w:val="en-GB"/>
        </w:rPr>
        <w:t xml:space="preserve">. In Africa, organic land increased by seven percent and in </w:t>
      </w:r>
      <w:smartTag w:uri="urn:schemas-microsoft-com:office:smarttags" w:element="place">
        <w:r w:rsidRPr="00020B80">
          <w:rPr>
            <w:lang w:val="en-GB"/>
          </w:rPr>
          <w:t>Europe</w:t>
        </w:r>
      </w:smartTag>
      <w:r w:rsidRPr="00020B80">
        <w:rPr>
          <w:lang w:val="en-GB"/>
        </w:rPr>
        <w:t xml:space="preserve"> by six percent. </w:t>
      </w:r>
    </w:p>
    <w:p w:rsidR="006A6994" w:rsidRPr="003152E2" w:rsidRDefault="006A6994" w:rsidP="00B029B0">
      <w:pPr>
        <w:spacing w:before="100" w:beforeAutospacing="1" w:after="100" w:afterAutospacing="1" w:line="360" w:lineRule="exact"/>
        <w:jc w:val="both"/>
        <w:rPr>
          <w:rFonts w:cs="Arial"/>
          <w:sz w:val="24"/>
          <w:szCs w:val="24"/>
          <w:lang w:val="en-GB"/>
        </w:rPr>
      </w:pPr>
      <w:r w:rsidRPr="00020B80">
        <w:rPr>
          <w:lang w:val="en-GB"/>
        </w:rPr>
        <w:t xml:space="preserve">One third of all global organic agricultural land is in Oceania (32 percent; 12.2 million hectares), followed by Europe (30 percent; 11.2 million hectares), and </w:t>
      </w:r>
      <w:smartTag w:uri="urn:schemas-microsoft-com:office:smarttags" w:element="place">
        <w:r w:rsidRPr="00020B80">
          <w:rPr>
            <w:lang w:val="en-GB"/>
          </w:rPr>
          <w:t>Latin America</w:t>
        </w:r>
      </w:smartTag>
      <w:r w:rsidRPr="00020B80">
        <w:rPr>
          <w:lang w:val="en-GB"/>
        </w:rPr>
        <w:t xml:space="preserve"> (18 percent; 6.8 million hectares). </w:t>
      </w:r>
      <w:smartTag w:uri="urn:schemas-microsoft-com:office:smarttags" w:element="country-region">
        <w:r w:rsidRPr="00020B80">
          <w:rPr>
            <w:lang w:val="en-GB"/>
          </w:rPr>
          <w:t>Australia</w:t>
        </w:r>
      </w:smartTag>
      <w:r w:rsidRPr="00020B80">
        <w:rPr>
          <w:lang w:val="en-GB"/>
        </w:rPr>
        <w:t xml:space="preserve"> is the country with the largest organic agricultural area (12 million hectares, with 97 percent of that area used as grazing), followed by </w:t>
      </w:r>
      <w:smartTag w:uri="urn:schemas-microsoft-com:office:smarttags" w:element="country-region">
        <w:r w:rsidRPr="00020B80">
          <w:rPr>
            <w:lang w:val="en-GB"/>
          </w:rPr>
          <w:t>Argentina</w:t>
        </w:r>
      </w:smartTag>
      <w:r w:rsidRPr="00020B80">
        <w:rPr>
          <w:lang w:val="en-GB"/>
        </w:rPr>
        <w:t xml:space="preserve"> (3.6 million hectares) and the </w:t>
      </w:r>
      <w:smartTag w:uri="urn:schemas-microsoft-com:office:smarttags" w:element="place">
        <w:smartTag w:uri="urn:schemas-microsoft-com:office:smarttags" w:element="country-region">
          <w:r w:rsidRPr="00020B80">
            <w:rPr>
              <w:lang w:val="en-GB"/>
            </w:rPr>
            <w:t>United States of America</w:t>
          </w:r>
        </w:smartTag>
      </w:smartTag>
      <w:r w:rsidRPr="00020B80">
        <w:rPr>
          <w:lang w:val="en-GB"/>
        </w:rPr>
        <w:t xml:space="preserve"> (2.2 million hectares). The countries with the largest share of organic agricultural land of all farmland are the Falkland Islands (36.3 percent), followed by </w:t>
      </w:r>
      <w:smartTag w:uri="urn:schemas-microsoft-com:office:smarttags" w:element="country-region">
        <w:r w:rsidRPr="00020B80">
          <w:rPr>
            <w:lang w:val="en-GB"/>
          </w:rPr>
          <w:t>Liechtenstein</w:t>
        </w:r>
      </w:smartTag>
      <w:r w:rsidRPr="00020B80">
        <w:rPr>
          <w:lang w:val="en-GB"/>
        </w:rPr>
        <w:t xml:space="preserve"> (29.6 percent) and </w:t>
      </w:r>
      <w:smartTag w:uri="urn:schemas-microsoft-com:office:smarttags" w:element="place">
        <w:smartTag w:uri="urn:schemas-microsoft-com:office:smarttags" w:element="country-region">
          <w:r w:rsidRPr="00020B80">
            <w:rPr>
              <w:lang w:val="en-GB"/>
            </w:rPr>
            <w:t>Austria</w:t>
          </w:r>
        </w:smartTag>
      </w:smartTag>
      <w:r w:rsidRPr="00020B80">
        <w:rPr>
          <w:lang w:val="en-GB"/>
        </w:rPr>
        <w:t xml:space="preserve"> (19.7 percent) and further European countries. In ten countries more than ten percent of agricultural land is organic. </w:t>
      </w:r>
    </w:p>
    <w:p w:rsidR="006A6994" w:rsidRPr="0064561A" w:rsidRDefault="006A6994" w:rsidP="00EE48ED">
      <w:pPr>
        <w:spacing w:before="100" w:beforeAutospacing="1" w:after="100" w:afterAutospacing="1"/>
        <w:jc w:val="both"/>
        <w:rPr>
          <w:rFonts w:cs="Arial"/>
          <w:sz w:val="24"/>
          <w:szCs w:val="24"/>
          <w:lang w:val="en-US"/>
        </w:rPr>
      </w:pPr>
      <w:r w:rsidRPr="0064561A">
        <w:rPr>
          <w:rFonts w:cs="Arial"/>
          <w:szCs w:val="22"/>
          <w:lang w:val="en-US"/>
        </w:rPr>
        <w:t xml:space="preserve">The most significant expansion in organic area as well as solid market growth noted in recent years has </w:t>
      </w:r>
      <w:r w:rsidRPr="0064561A">
        <w:rPr>
          <w:rFonts w:eastAsia="MyriadPro-Light" w:cs="Arial"/>
          <w:szCs w:val="22"/>
          <w:lang w:val="en-US"/>
        </w:rPr>
        <w:t xml:space="preserve">been </w:t>
      </w:r>
      <w:r>
        <w:rPr>
          <w:rFonts w:eastAsia="MyriadPro-Light" w:cs="Arial"/>
          <w:szCs w:val="22"/>
          <w:lang w:val="en-US"/>
        </w:rPr>
        <w:t xml:space="preserve">in </w:t>
      </w:r>
      <w:smartTag w:uri="urn:schemas-microsoft-com:office:smarttags" w:element="place">
        <w:r>
          <w:rPr>
            <w:rFonts w:eastAsia="MyriadPro-Light" w:cs="Arial"/>
            <w:szCs w:val="22"/>
            <w:lang w:val="en-US"/>
          </w:rPr>
          <w:t>Europe</w:t>
        </w:r>
      </w:smartTag>
      <w:r w:rsidRPr="0064561A">
        <w:rPr>
          <w:rFonts w:eastAsia="MyriadPro-Light" w:cs="Arial"/>
          <w:szCs w:val="22"/>
          <w:lang w:val="en-US"/>
        </w:rPr>
        <w:t>.</w:t>
      </w:r>
      <w:r w:rsidRPr="0064561A">
        <w:rPr>
          <w:rFonts w:cs="Arial"/>
          <w:szCs w:val="22"/>
          <w:lang w:val="en-US"/>
        </w:rPr>
        <w:t xml:space="preserve"> More information is available from a recently published study by the European Union Group of IFOAM, FiBL and the Mediterranean Agronomic Institute (</w:t>
      </w:r>
      <w:r w:rsidRPr="0064561A">
        <w:rPr>
          <w:lang w:val="en-US"/>
        </w:rPr>
        <w:t xml:space="preserve">CIHEAM-IAMB) that shows the potential for further growth in </w:t>
      </w:r>
      <w:smartTag w:uri="urn:schemas-microsoft-com:office:smarttags" w:element="place">
        <w:r w:rsidRPr="0064561A">
          <w:rPr>
            <w:lang w:val="en-US"/>
          </w:rPr>
          <w:t>Europe</w:t>
        </w:r>
      </w:smartTag>
      <w:r w:rsidRPr="0064561A">
        <w:rPr>
          <w:lang w:val="en-US"/>
        </w:rPr>
        <w:t xml:space="preserve"> based on a supportive public policy environment and increasing consumer demand.</w:t>
      </w:r>
    </w:p>
    <w:p w:rsidR="006A6994" w:rsidRDefault="006A6994" w:rsidP="00B029B0">
      <w:pPr>
        <w:spacing w:line="360" w:lineRule="exact"/>
        <w:rPr>
          <w:rFonts w:cs="Arial"/>
          <w:szCs w:val="22"/>
          <w:lang w:val="en-GB"/>
        </w:rPr>
      </w:pPr>
    </w:p>
    <w:p w:rsidR="006A6994" w:rsidRDefault="006A6994" w:rsidP="00B029B0">
      <w:pPr>
        <w:spacing w:line="360" w:lineRule="exact"/>
        <w:rPr>
          <w:rFonts w:cs="Arial"/>
          <w:szCs w:val="22"/>
          <w:lang w:val="en-GB"/>
        </w:rPr>
      </w:pPr>
    </w:p>
    <w:p w:rsidR="006A6994" w:rsidRDefault="006A6994" w:rsidP="0064561A">
      <w:pPr>
        <w:pStyle w:val="berschrift2"/>
        <w:spacing w:before="0" w:beforeAutospacing="0" w:after="0" w:afterAutospacing="0"/>
        <w:rPr>
          <w:rFonts w:ascii="Arial" w:hAnsi="Arial" w:cs="Arial"/>
          <w:sz w:val="28"/>
          <w:szCs w:val="28"/>
          <w:lang w:val="en-GB"/>
        </w:rPr>
      </w:pPr>
    </w:p>
    <w:p w:rsidR="006A6994" w:rsidRPr="0064561A" w:rsidRDefault="006A6994" w:rsidP="0064561A">
      <w:pPr>
        <w:pStyle w:val="berschrift2"/>
        <w:spacing w:before="0" w:beforeAutospacing="0" w:after="0" w:afterAutospacing="0"/>
        <w:rPr>
          <w:rFonts w:ascii="Arial" w:hAnsi="Arial" w:cs="Arial"/>
          <w:sz w:val="28"/>
          <w:szCs w:val="28"/>
          <w:lang w:val="en-GB"/>
        </w:rPr>
      </w:pPr>
      <w:r w:rsidRPr="0064561A">
        <w:rPr>
          <w:rFonts w:ascii="Arial" w:hAnsi="Arial" w:cs="Arial"/>
          <w:sz w:val="28"/>
          <w:szCs w:val="28"/>
          <w:lang w:val="en-GB"/>
        </w:rPr>
        <w:lastRenderedPageBreak/>
        <w:t>More information</w:t>
      </w:r>
    </w:p>
    <w:p w:rsidR="006A6994" w:rsidRPr="00B029B0" w:rsidRDefault="006A6994" w:rsidP="00B029B0">
      <w:pPr>
        <w:spacing w:before="0" w:after="120" w:line="240" w:lineRule="auto"/>
        <w:rPr>
          <w:rStyle w:val="IntensiveHervorhebung"/>
          <w:i w:val="0"/>
          <w:color w:val="auto"/>
          <w:lang w:val="en-US"/>
        </w:rPr>
      </w:pPr>
      <w:r w:rsidRPr="00B029B0">
        <w:rPr>
          <w:rStyle w:val="IntensiveHervorhebung"/>
          <w:i w:val="0"/>
          <w:color w:val="auto"/>
          <w:lang w:val="en-US"/>
        </w:rPr>
        <w:t>Contacts</w:t>
      </w:r>
    </w:p>
    <w:p w:rsidR="006A6994" w:rsidRPr="00B029B0" w:rsidRDefault="006A6994" w:rsidP="00B029B0">
      <w:pPr>
        <w:pStyle w:val="Listenabsatz"/>
        <w:numPr>
          <w:ilvl w:val="0"/>
          <w:numId w:val="6"/>
        </w:numPr>
        <w:spacing w:before="0" w:after="120" w:line="240" w:lineRule="auto"/>
        <w:contextualSpacing w:val="0"/>
        <w:rPr>
          <w:sz w:val="20"/>
          <w:lang w:val="en-GB"/>
        </w:rPr>
      </w:pPr>
      <w:r w:rsidRPr="0064561A">
        <w:rPr>
          <w:b/>
          <w:i/>
          <w:szCs w:val="22"/>
          <w:lang w:val="en-GB"/>
        </w:rPr>
        <w:t>Statistics:</w:t>
      </w:r>
      <w:r>
        <w:rPr>
          <w:sz w:val="20"/>
          <w:lang w:val="en-GB"/>
        </w:rPr>
        <w:t xml:space="preserve"> </w:t>
      </w:r>
      <w:r w:rsidRPr="00B029B0">
        <w:rPr>
          <w:sz w:val="20"/>
          <w:lang w:val="en-GB"/>
        </w:rPr>
        <w:t xml:space="preserve">Research Institute of Organic Agriculture (FiBL), </w:t>
      </w:r>
      <w:hyperlink r:id="rId8" w:tgtFrame="_blank" w:tooltip="Link opens in a new window" w:history="1">
        <w:r w:rsidRPr="00B029B0">
          <w:rPr>
            <w:sz w:val="20"/>
            <w:lang w:val="en-GB"/>
          </w:rPr>
          <w:t>Helga Willer</w:t>
        </w:r>
      </w:hyperlink>
      <w:r w:rsidRPr="00B029B0">
        <w:rPr>
          <w:sz w:val="20"/>
          <w:lang w:val="en-GB"/>
        </w:rPr>
        <w:t xml:space="preserve">, Ackerstrasse, 5070 Frick, Switzerland, Tel. +41 (0)79 2180626, Fax +41 (0)62 8657273, helga.willer at fibl.org; </w:t>
      </w:r>
      <w:hyperlink r:id="rId9" w:tgtFrame="_blank" w:tooltip="Link opens in a new window" w:history="1">
        <w:r w:rsidRPr="00B029B0">
          <w:rPr>
            <w:sz w:val="20"/>
            <w:lang w:val="en-GB"/>
          </w:rPr>
          <w:t>www.fibl.org</w:t>
        </w:r>
      </w:hyperlink>
      <w:r w:rsidRPr="00B029B0">
        <w:rPr>
          <w:sz w:val="20"/>
          <w:lang w:val="en-GB"/>
        </w:rPr>
        <w:t xml:space="preserve"> </w:t>
      </w:r>
    </w:p>
    <w:p w:rsidR="006A6994" w:rsidRPr="001B41B9" w:rsidRDefault="006A6994" w:rsidP="00B029B0">
      <w:pPr>
        <w:pStyle w:val="Listenabsatz"/>
        <w:numPr>
          <w:ilvl w:val="0"/>
          <w:numId w:val="6"/>
        </w:numPr>
        <w:spacing w:before="0" w:after="120" w:line="240" w:lineRule="auto"/>
        <w:ind w:left="357" w:hanging="357"/>
        <w:contextualSpacing w:val="0"/>
        <w:rPr>
          <w:sz w:val="20"/>
          <w:lang w:val="de-DE"/>
        </w:rPr>
      </w:pPr>
      <w:r w:rsidRPr="0064561A">
        <w:rPr>
          <w:b/>
          <w:i/>
          <w:szCs w:val="22"/>
          <w:lang w:val="en-GB"/>
        </w:rPr>
        <w:t>Organic 3.0:</w:t>
      </w:r>
      <w:r>
        <w:rPr>
          <w:sz w:val="20"/>
          <w:lang w:val="en-GB"/>
        </w:rPr>
        <w:t xml:space="preserve"> </w:t>
      </w:r>
      <w:r w:rsidRPr="00B029B0">
        <w:rPr>
          <w:sz w:val="20"/>
          <w:lang w:val="en-GB"/>
        </w:rPr>
        <w:t>International Federation of Organic Agriculture Movements (IFOAM)</w:t>
      </w:r>
      <w:r>
        <w:rPr>
          <w:sz w:val="20"/>
          <w:lang w:val="en-GB"/>
        </w:rPr>
        <w:t>,</w:t>
      </w:r>
      <w:r w:rsidRPr="00B029B0">
        <w:rPr>
          <w:sz w:val="20"/>
          <w:lang w:val="en-GB"/>
        </w:rPr>
        <w:t xml:space="preserve"> Markus Arbenz, Charles-de-Gaulle-Strasse 5, 53113 Bonn, Germany, Tel. </w:t>
      </w:r>
      <w:r w:rsidRPr="001B41B9">
        <w:rPr>
          <w:sz w:val="20"/>
          <w:lang w:val="de-DE"/>
        </w:rPr>
        <w:t xml:space="preserve">+49 (0)160 8041557, Fax +49 (0)228 9265099, </w:t>
      </w:r>
      <w:hyperlink r:id="rId10" w:history="1">
        <w:r w:rsidRPr="001B41B9">
          <w:rPr>
            <w:rStyle w:val="Hyperlink"/>
            <w:rFonts w:cs="Arial"/>
            <w:color w:val="auto"/>
            <w:sz w:val="20"/>
            <w:lang w:val="de-DE"/>
          </w:rPr>
          <w:t>m.arbenz at ifoam.org</w:t>
        </w:r>
      </w:hyperlink>
      <w:r w:rsidRPr="001B41B9">
        <w:rPr>
          <w:sz w:val="20"/>
          <w:lang w:val="de-DE"/>
        </w:rPr>
        <w:t xml:space="preserve">; </w:t>
      </w:r>
      <w:hyperlink r:id="rId11" w:tgtFrame="/" w:tooltip="external-link-new-window" w:history="1">
        <w:r w:rsidRPr="001B41B9">
          <w:rPr>
            <w:sz w:val="20"/>
            <w:u w:val="single"/>
            <w:lang w:val="de-DE"/>
          </w:rPr>
          <w:t xml:space="preserve">www.ifoam.org </w:t>
        </w:r>
      </w:hyperlink>
    </w:p>
    <w:p w:rsidR="006A6994" w:rsidRPr="0064561A" w:rsidRDefault="006A6994" w:rsidP="0064561A">
      <w:pPr>
        <w:pStyle w:val="KeinLeerraum"/>
        <w:spacing w:before="120"/>
        <w:rPr>
          <w:rFonts w:cs="Arial"/>
          <w:color w:val="004800"/>
          <w:szCs w:val="22"/>
          <w:lang w:val="en-US" w:eastAsia="en-US"/>
        </w:rPr>
      </w:pPr>
      <w:r w:rsidRPr="00020B80">
        <w:rPr>
          <w:b/>
          <w:sz w:val="24"/>
          <w:szCs w:val="24"/>
          <w:lang w:val="en-GB"/>
        </w:rPr>
        <w:t>Global Yearbook “The World of Organic Agriculture”</w:t>
      </w:r>
      <w:r w:rsidRPr="00020B80">
        <w:rPr>
          <w:b/>
          <w:sz w:val="24"/>
          <w:szCs w:val="24"/>
          <w:lang w:val="en-GB"/>
        </w:rPr>
        <w:br/>
      </w:r>
      <w:r w:rsidRPr="0064561A">
        <w:rPr>
          <w:rFonts w:cs="Arial"/>
          <w:color w:val="004800"/>
          <w:szCs w:val="22"/>
          <w:lang w:val="en-US" w:eastAsia="en-US"/>
        </w:rPr>
        <w:t>Pick up your copy at BioFach in Hall 1, Stands 1-543 and 1-647</w:t>
      </w:r>
    </w:p>
    <w:p w:rsidR="006A6994" w:rsidRPr="00B029B0" w:rsidRDefault="006A6994" w:rsidP="00B029B0">
      <w:pPr>
        <w:pStyle w:val="Listenabsatz"/>
        <w:numPr>
          <w:ilvl w:val="0"/>
          <w:numId w:val="9"/>
        </w:numPr>
        <w:spacing w:before="0" w:after="120" w:line="240" w:lineRule="auto"/>
        <w:contextualSpacing w:val="0"/>
        <w:rPr>
          <w:b/>
          <w:sz w:val="20"/>
        </w:rPr>
      </w:pPr>
      <w:r w:rsidRPr="00020B80">
        <w:rPr>
          <w:b/>
          <w:szCs w:val="22"/>
          <w:lang w:val="en-GB"/>
        </w:rPr>
        <w:t xml:space="preserve">About </w:t>
      </w:r>
      <w:r w:rsidRPr="00020B80">
        <w:rPr>
          <w:b/>
          <w:sz w:val="24"/>
          <w:szCs w:val="24"/>
          <w:lang w:val="en-GB"/>
        </w:rPr>
        <w:t>“The World of Organic Agriculture”</w:t>
      </w:r>
      <w:r w:rsidRPr="00020B80">
        <w:rPr>
          <w:b/>
          <w:szCs w:val="22"/>
          <w:lang w:val="en-GB"/>
        </w:rPr>
        <w:br/>
      </w:r>
      <w:r w:rsidRPr="00020B80">
        <w:rPr>
          <w:sz w:val="20"/>
          <w:lang w:val="en-GB"/>
        </w:rPr>
        <w:t xml:space="preserve">The study contains reports, authored by experts, on the organic sector and emerging trends in all regions and selected countries. The statistics are supported with graphs and tables. In addition, background information on issues such as standards and legislation is provided. </w:t>
      </w:r>
      <w:r w:rsidRPr="00B029B0">
        <w:rPr>
          <w:sz w:val="20"/>
        </w:rPr>
        <w:t xml:space="preserve">Further information is available at www.organic-world.net. </w:t>
      </w:r>
    </w:p>
    <w:p w:rsidR="006A6994" w:rsidRPr="00020B80" w:rsidRDefault="006A6994" w:rsidP="00B029B0">
      <w:pPr>
        <w:pStyle w:val="Listenabsatz"/>
        <w:numPr>
          <w:ilvl w:val="0"/>
          <w:numId w:val="9"/>
        </w:numPr>
        <w:spacing w:before="0" w:after="120" w:line="240" w:lineRule="auto"/>
        <w:contextualSpacing w:val="0"/>
        <w:rPr>
          <w:b/>
          <w:sz w:val="20"/>
          <w:lang w:val="en-GB"/>
        </w:rPr>
      </w:pPr>
      <w:r w:rsidRPr="00020B80">
        <w:rPr>
          <w:b/>
          <w:szCs w:val="22"/>
          <w:lang w:val="en-GB"/>
        </w:rPr>
        <w:t>Supporters</w:t>
      </w:r>
      <w:r w:rsidRPr="00020B80">
        <w:rPr>
          <w:b/>
          <w:szCs w:val="22"/>
          <w:lang w:val="en-GB"/>
        </w:rPr>
        <w:br/>
      </w:r>
      <w:r w:rsidRPr="00020B80">
        <w:rPr>
          <w:sz w:val="20"/>
          <w:lang w:val="en-GB"/>
        </w:rPr>
        <w:t xml:space="preserve">Support for this work is granted by the Swiss State Secretariat for Economic Affairs (SECO) and by NürnbergMesse. </w:t>
      </w:r>
    </w:p>
    <w:p w:rsidR="006A6994" w:rsidRPr="00020B80" w:rsidRDefault="006A6994" w:rsidP="00B029B0">
      <w:pPr>
        <w:pStyle w:val="Listenabsatz"/>
        <w:numPr>
          <w:ilvl w:val="0"/>
          <w:numId w:val="9"/>
        </w:numPr>
        <w:spacing w:before="0" w:after="120" w:line="240" w:lineRule="auto"/>
        <w:contextualSpacing w:val="0"/>
        <w:rPr>
          <w:b/>
          <w:sz w:val="20"/>
          <w:lang w:val="en-GB"/>
        </w:rPr>
      </w:pPr>
      <w:r w:rsidRPr="0064561A">
        <w:rPr>
          <w:b/>
          <w:szCs w:val="22"/>
          <w:lang w:val="en-GB"/>
        </w:rPr>
        <w:t>Quote</w:t>
      </w:r>
      <w:r w:rsidRPr="0064561A">
        <w:rPr>
          <w:szCs w:val="22"/>
          <w:lang w:val="en-GB"/>
        </w:rPr>
        <w:br/>
      </w:r>
      <w:r w:rsidRPr="00B029B0">
        <w:rPr>
          <w:sz w:val="20"/>
          <w:lang w:val="en-GB"/>
        </w:rPr>
        <w:t xml:space="preserve">Helga Willer and Julia Lernoud (Eds.) (2014): The World of Organic Agriculture. Statistics and Emerging Trends 2014. Research Institute of Organic Agriculture (FiBL), Frick and International Federation of Organic Agriculture Movements (IFOAM), </w:t>
      </w:r>
      <w:smartTag w:uri="urn:schemas-microsoft-com:office:smarttags" w:element="City">
        <w:smartTag w:uri="urn:schemas-microsoft-com:office:smarttags" w:element="place">
          <w:r w:rsidRPr="00B029B0">
            <w:rPr>
              <w:sz w:val="20"/>
              <w:lang w:val="en-GB"/>
            </w:rPr>
            <w:t>Bonn</w:t>
          </w:r>
        </w:smartTag>
      </w:smartTag>
    </w:p>
    <w:p w:rsidR="006A6994" w:rsidRPr="00B029B0" w:rsidRDefault="006A6994" w:rsidP="00B029B0">
      <w:pPr>
        <w:pStyle w:val="Listenabsatz"/>
        <w:numPr>
          <w:ilvl w:val="0"/>
          <w:numId w:val="7"/>
        </w:numPr>
        <w:spacing w:before="0" w:after="120" w:line="240" w:lineRule="auto"/>
        <w:contextualSpacing w:val="0"/>
        <w:rPr>
          <w:rStyle w:val="Hyperlink"/>
          <w:color w:val="auto"/>
          <w:sz w:val="20"/>
          <w:u w:val="none"/>
          <w:lang w:val="en-GB"/>
        </w:rPr>
      </w:pPr>
      <w:r w:rsidRPr="0064561A">
        <w:rPr>
          <w:b/>
          <w:szCs w:val="22"/>
          <w:lang w:val="en-GB"/>
        </w:rPr>
        <w:t>Order book and download</w:t>
      </w:r>
      <w:r w:rsidRPr="0064561A">
        <w:rPr>
          <w:szCs w:val="22"/>
          <w:lang w:val="en-GB"/>
        </w:rPr>
        <w:br/>
      </w:r>
      <w:r w:rsidRPr="00B029B0">
        <w:rPr>
          <w:sz w:val="20"/>
          <w:lang w:val="en-GB"/>
        </w:rPr>
        <w:t xml:space="preserve">The printed version (25 euros + </w:t>
      </w:r>
      <w:r w:rsidRPr="00890502">
        <w:rPr>
          <w:sz w:val="20"/>
          <w:u w:val="single"/>
          <w:lang w:val="en-GB"/>
        </w:rPr>
        <w:t>postage</w:t>
      </w:r>
      <w:r w:rsidRPr="00B029B0">
        <w:rPr>
          <w:sz w:val="20"/>
          <w:lang w:val="en-GB"/>
        </w:rPr>
        <w:t xml:space="preserve">; IFOAM members </w:t>
      </w:r>
      <w:r>
        <w:rPr>
          <w:sz w:val="20"/>
          <w:lang w:val="en-GB"/>
        </w:rPr>
        <w:t>12.50</w:t>
      </w:r>
      <w:r w:rsidRPr="00B029B0">
        <w:rPr>
          <w:sz w:val="20"/>
          <w:lang w:val="en-GB"/>
        </w:rPr>
        <w:t xml:space="preserve"> euros) can be ordered at </w:t>
      </w:r>
      <w:hyperlink r:id="rId12" w:tgtFrame="_blank" w:tooltip="Link opens in a new window" w:history="1">
        <w:r w:rsidRPr="00B029B0">
          <w:rPr>
            <w:sz w:val="20"/>
            <w:u w:val="single"/>
            <w:lang w:val="en-GB"/>
          </w:rPr>
          <w:t>www.fibl.org/en/shop-en.html</w:t>
        </w:r>
      </w:hyperlink>
      <w:r>
        <w:rPr>
          <w:sz w:val="20"/>
          <w:u w:val="single"/>
          <w:lang w:val="en-GB"/>
        </w:rPr>
        <w:t xml:space="preserve">, </w:t>
      </w:r>
      <w:r w:rsidRPr="00890502">
        <w:rPr>
          <w:sz w:val="20"/>
          <w:lang w:val="en-GB"/>
        </w:rPr>
        <w:t>order number 1636</w:t>
      </w:r>
      <w:r w:rsidRPr="00B029B0">
        <w:rPr>
          <w:sz w:val="20"/>
          <w:lang w:val="en-GB"/>
        </w:rPr>
        <w:t xml:space="preserve"> and </w:t>
      </w:r>
      <w:hyperlink r:id="rId13" w:history="1">
        <w:r w:rsidRPr="00B029B0">
          <w:rPr>
            <w:rStyle w:val="Hyperlink"/>
            <w:rFonts w:cs="Arial"/>
            <w:color w:val="auto"/>
            <w:sz w:val="20"/>
            <w:lang w:val="en-GB"/>
          </w:rPr>
          <w:t>www.ifoam.org</w:t>
        </w:r>
      </w:hyperlink>
    </w:p>
    <w:p w:rsidR="006A6994" w:rsidRPr="0064561A" w:rsidRDefault="006A6994" w:rsidP="00B029B0">
      <w:pPr>
        <w:spacing w:before="0" w:after="120" w:line="240" w:lineRule="auto"/>
        <w:rPr>
          <w:rStyle w:val="Hyperlink"/>
          <w:rFonts w:cs="Arial"/>
          <w:b/>
          <w:color w:val="auto"/>
          <w:sz w:val="24"/>
          <w:szCs w:val="24"/>
          <w:u w:val="none"/>
          <w:lang w:val="en-GB"/>
        </w:rPr>
      </w:pPr>
      <w:r w:rsidRPr="0064561A">
        <w:rPr>
          <w:rStyle w:val="Hyperlink"/>
          <w:rFonts w:cs="Arial"/>
          <w:b/>
          <w:color w:val="auto"/>
          <w:sz w:val="24"/>
          <w:szCs w:val="24"/>
          <w:u w:val="none"/>
          <w:lang w:val="en-GB"/>
        </w:rPr>
        <w:t xml:space="preserve">European study: </w:t>
      </w:r>
      <w:r w:rsidRPr="0064561A">
        <w:rPr>
          <w:b/>
          <w:sz w:val="24"/>
          <w:szCs w:val="24"/>
          <w:lang w:val="en-GB"/>
        </w:rPr>
        <w:t xml:space="preserve">Organic in </w:t>
      </w:r>
      <w:smartTag w:uri="urn:schemas-microsoft-com:office:smarttags" w:element="place">
        <w:r w:rsidRPr="0064561A">
          <w:rPr>
            <w:b/>
            <w:sz w:val="24"/>
            <w:szCs w:val="24"/>
            <w:lang w:val="en-GB"/>
          </w:rPr>
          <w:t>Europe</w:t>
        </w:r>
      </w:smartTag>
      <w:r w:rsidRPr="0064561A">
        <w:rPr>
          <w:b/>
          <w:sz w:val="24"/>
          <w:szCs w:val="24"/>
          <w:lang w:val="en-GB"/>
        </w:rPr>
        <w:t>. Prospects and Developments</w:t>
      </w:r>
    </w:p>
    <w:p w:rsidR="006A6994" w:rsidRPr="0064561A" w:rsidRDefault="006A6994" w:rsidP="0064561A">
      <w:pPr>
        <w:pStyle w:val="KeinLeerraum"/>
        <w:numPr>
          <w:ilvl w:val="0"/>
          <w:numId w:val="7"/>
        </w:numPr>
        <w:spacing w:after="120"/>
        <w:ind w:left="714" w:hanging="357"/>
        <w:rPr>
          <w:rFonts w:cs="Arial"/>
          <w:sz w:val="20"/>
          <w:lang w:val="en-US" w:eastAsia="en-US"/>
        </w:rPr>
      </w:pPr>
      <w:r w:rsidRPr="0064561A">
        <w:rPr>
          <w:b/>
          <w:szCs w:val="22"/>
          <w:lang w:val="en-US"/>
        </w:rPr>
        <w:t>About</w:t>
      </w:r>
      <w:r w:rsidRPr="0064561A">
        <w:rPr>
          <w:b/>
          <w:szCs w:val="22"/>
          <w:lang w:val="en-US"/>
        </w:rPr>
        <w:br/>
      </w:r>
      <w:r w:rsidRPr="0064561A">
        <w:rPr>
          <w:rFonts w:cs="Arial"/>
          <w:sz w:val="20"/>
          <w:lang w:val="en-US"/>
        </w:rPr>
        <w:t xml:space="preserve">This new publication contains an overview of EU farming and food policy, case studies on support mechanisms, the latest growth trends in European organic food and agriculture and country reports on sector development from over 30 European countries. The publication is an initiative of the IFOAM EU Mind the CAP campaign that is co-financed by the European Union, Directorate-General for Agriculture and Rural Development. The sole responsibility for the content expressed lies with the authors. The European Commission cannot be held responsible for any use, which may be made of this information. </w:t>
      </w:r>
    </w:p>
    <w:p w:rsidR="006A6994" w:rsidRPr="0064561A" w:rsidRDefault="006A6994" w:rsidP="0064561A">
      <w:pPr>
        <w:pStyle w:val="Listenabsatz"/>
        <w:numPr>
          <w:ilvl w:val="0"/>
          <w:numId w:val="10"/>
        </w:numPr>
        <w:spacing w:before="0" w:after="120" w:line="240" w:lineRule="auto"/>
        <w:ind w:left="714" w:hanging="357"/>
        <w:contextualSpacing w:val="0"/>
        <w:rPr>
          <w:rFonts w:cs="Arial"/>
          <w:sz w:val="20"/>
          <w:lang w:val="en-US"/>
        </w:rPr>
      </w:pPr>
      <w:r w:rsidRPr="0064561A">
        <w:rPr>
          <w:rFonts w:cs="Arial"/>
          <w:b/>
          <w:szCs w:val="22"/>
          <w:lang w:val="en-US"/>
        </w:rPr>
        <w:t>Presentation</w:t>
      </w:r>
      <w:r w:rsidRPr="0064561A">
        <w:rPr>
          <w:rFonts w:cs="Arial"/>
          <w:b/>
          <w:szCs w:val="22"/>
          <w:lang w:val="en-US"/>
        </w:rPr>
        <w:br/>
      </w:r>
      <w:r w:rsidRPr="0064561A">
        <w:rPr>
          <w:rFonts w:cs="Arial"/>
          <w:bCs/>
          <w:sz w:val="20"/>
          <w:lang w:val="en-US"/>
        </w:rPr>
        <w:t xml:space="preserve">The book will be presented at </w:t>
      </w:r>
      <w:r w:rsidRPr="0064561A">
        <w:rPr>
          <w:rFonts w:cs="Arial"/>
          <w:sz w:val="20"/>
          <w:lang w:val="en-US"/>
        </w:rPr>
        <w:t xml:space="preserve">BIOFACH in </w:t>
      </w:r>
      <w:smartTag w:uri="urn:schemas-microsoft-com:office:smarttags" w:element="City">
        <w:r w:rsidRPr="0064561A">
          <w:rPr>
            <w:rFonts w:cs="Arial"/>
            <w:sz w:val="20"/>
            <w:lang w:val="en-US"/>
          </w:rPr>
          <w:t>Nuremberg</w:t>
        </w:r>
      </w:smartTag>
      <w:r w:rsidRPr="0064561A">
        <w:rPr>
          <w:rFonts w:cs="Arial"/>
          <w:sz w:val="20"/>
          <w:lang w:val="en-US"/>
        </w:rPr>
        <w:t xml:space="preserve"> on February 14</w:t>
      </w:r>
      <w:r>
        <w:rPr>
          <w:rFonts w:cs="Arial"/>
          <w:sz w:val="20"/>
          <w:lang w:val="en-US"/>
        </w:rPr>
        <w:t>,</w:t>
      </w:r>
      <w:r w:rsidRPr="0064561A">
        <w:rPr>
          <w:rFonts w:cs="Arial"/>
          <w:sz w:val="20"/>
          <w:lang w:val="en-US"/>
        </w:rPr>
        <w:t xml:space="preserve"> 2014 at</w:t>
      </w:r>
      <w:r w:rsidRPr="0064561A">
        <w:rPr>
          <w:rFonts w:cs="Arial"/>
          <w:bCs/>
          <w:sz w:val="20"/>
          <w:lang w:val="en-US"/>
        </w:rPr>
        <w:t xml:space="preserve"> the workshop Mind the CAP: Policy opportunities and organic market development in Europe from 10:00-10:45 – Room: </w:t>
      </w:r>
      <w:smartTag w:uri="urn:schemas-microsoft-com:office:smarttags" w:element="City">
        <w:smartTag w:uri="urn:schemas-microsoft-com:office:smarttags" w:element="place">
          <w:r w:rsidRPr="0064561A">
            <w:rPr>
              <w:rFonts w:cs="Arial"/>
              <w:sz w:val="20"/>
              <w:lang w:val="en-US"/>
            </w:rPr>
            <w:t>Riga</w:t>
          </w:r>
        </w:smartTag>
      </w:smartTag>
      <w:r w:rsidRPr="0064561A" w:rsidDel="006B56B3">
        <w:rPr>
          <w:rFonts w:cs="Arial"/>
          <w:sz w:val="20"/>
          <w:lang w:val="en-US"/>
        </w:rPr>
        <w:t xml:space="preserve"> </w:t>
      </w:r>
      <w:r w:rsidRPr="0064561A">
        <w:rPr>
          <w:rStyle w:val="st"/>
          <w:rFonts w:cs="Arial"/>
          <w:sz w:val="20"/>
          <w:lang w:val="en-US"/>
        </w:rPr>
        <w:t>(NCC East)</w:t>
      </w:r>
      <w:r w:rsidRPr="0064561A" w:rsidDel="006B56B3">
        <w:rPr>
          <w:rFonts w:cs="Arial"/>
          <w:sz w:val="20"/>
          <w:lang w:val="en-US"/>
        </w:rPr>
        <w:t xml:space="preserve"> </w:t>
      </w:r>
    </w:p>
    <w:p w:rsidR="006A6994" w:rsidRPr="0064561A" w:rsidRDefault="006A6994" w:rsidP="0064561A">
      <w:pPr>
        <w:pStyle w:val="Listenabsatz"/>
        <w:numPr>
          <w:ilvl w:val="0"/>
          <w:numId w:val="8"/>
        </w:numPr>
        <w:spacing w:before="0" w:after="120" w:line="240" w:lineRule="auto"/>
        <w:ind w:left="714" w:hanging="357"/>
        <w:contextualSpacing w:val="0"/>
        <w:rPr>
          <w:sz w:val="20"/>
          <w:lang w:val="en-US"/>
        </w:rPr>
      </w:pPr>
      <w:r w:rsidRPr="0064561A">
        <w:rPr>
          <w:b/>
          <w:szCs w:val="22"/>
          <w:lang w:val="en-US"/>
        </w:rPr>
        <w:t>Quote</w:t>
      </w:r>
      <w:r w:rsidRPr="0064561A">
        <w:rPr>
          <w:szCs w:val="22"/>
          <w:lang w:val="en-US"/>
        </w:rPr>
        <w:br/>
      </w:r>
      <w:r w:rsidRPr="0064561A">
        <w:rPr>
          <w:sz w:val="20"/>
          <w:lang w:val="en-US"/>
        </w:rPr>
        <w:t xml:space="preserve">Meredith Stephen and Helga Willer (Eds.) (2014): Organic in </w:t>
      </w:r>
      <w:smartTag w:uri="urn:schemas-microsoft-com:office:smarttags" w:element="place">
        <w:r w:rsidRPr="0064561A">
          <w:rPr>
            <w:sz w:val="20"/>
            <w:lang w:val="en-US"/>
          </w:rPr>
          <w:t>Europe</w:t>
        </w:r>
      </w:smartTag>
      <w:r w:rsidRPr="0064561A">
        <w:rPr>
          <w:sz w:val="20"/>
          <w:lang w:val="en-US"/>
        </w:rPr>
        <w:t xml:space="preserve">. Prospects and Developments. IFOAM EU, </w:t>
      </w:r>
      <w:smartTag w:uri="urn:schemas-microsoft-com:office:smarttags" w:element="City">
        <w:smartTag w:uri="urn:schemas-microsoft-com:office:smarttags" w:element="place">
          <w:r w:rsidRPr="0064561A">
            <w:rPr>
              <w:sz w:val="20"/>
              <w:lang w:val="en-US"/>
            </w:rPr>
            <w:t>Brussels</w:t>
          </w:r>
        </w:smartTag>
      </w:smartTag>
    </w:p>
    <w:p w:rsidR="006A6994" w:rsidRPr="0064561A" w:rsidRDefault="006A6994" w:rsidP="00EE48ED">
      <w:pPr>
        <w:pStyle w:val="Listenabsatz"/>
        <w:numPr>
          <w:ilvl w:val="0"/>
          <w:numId w:val="8"/>
        </w:numPr>
        <w:spacing w:before="0" w:after="120" w:line="240" w:lineRule="auto"/>
        <w:contextualSpacing w:val="0"/>
        <w:rPr>
          <w:sz w:val="20"/>
          <w:lang w:val="en-US"/>
        </w:rPr>
      </w:pPr>
      <w:r w:rsidRPr="0064561A">
        <w:rPr>
          <w:b/>
          <w:szCs w:val="22"/>
          <w:lang w:val="en-US"/>
        </w:rPr>
        <w:t>Order book</w:t>
      </w:r>
      <w:r w:rsidRPr="0064561A">
        <w:rPr>
          <w:b/>
          <w:szCs w:val="22"/>
          <w:lang w:val="en-US"/>
        </w:rPr>
        <w:br/>
      </w:r>
      <w:r w:rsidRPr="0064561A">
        <w:rPr>
          <w:sz w:val="20"/>
          <w:lang w:val="en-US"/>
        </w:rPr>
        <w:t xml:space="preserve">The printed version (30 euros + postage; IFOAM EU members 15 euros) can be ordered at </w:t>
      </w:r>
      <w:hyperlink r:id="rId14" w:tgtFrame="_blank" w:tooltip="Link opens in a new window" w:history="1">
        <w:r w:rsidRPr="00890502">
          <w:rPr>
            <w:sz w:val="20"/>
            <w:lang w:val="en-US"/>
          </w:rPr>
          <w:t>www.fibl.org/en/shop-en.html</w:t>
        </w:r>
      </w:hyperlink>
      <w:r w:rsidRPr="00890502">
        <w:rPr>
          <w:sz w:val="20"/>
          <w:lang w:val="en-US"/>
        </w:rPr>
        <w:t xml:space="preserve">, order number </w:t>
      </w:r>
      <w:r w:rsidRPr="0064561A">
        <w:rPr>
          <w:sz w:val="20"/>
          <w:lang w:val="en-US"/>
        </w:rPr>
        <w:t xml:space="preserve">1634 (1635 for German version) and </w:t>
      </w:r>
      <w:r w:rsidRPr="00890502">
        <w:rPr>
          <w:sz w:val="20"/>
          <w:lang w:val="en-US"/>
        </w:rPr>
        <w:t>shop.ifoam.org/bookstore</w:t>
      </w:r>
    </w:p>
    <w:p w:rsidR="006A6994" w:rsidRPr="00F94D0B" w:rsidRDefault="006A6994" w:rsidP="00B029B0">
      <w:pPr>
        <w:spacing w:after="120" w:line="240" w:lineRule="auto"/>
        <w:rPr>
          <w:rFonts w:cs="Arial"/>
          <w:szCs w:val="22"/>
          <w:u w:val="single"/>
          <w:lang w:val="en-GB"/>
        </w:rPr>
      </w:pPr>
      <w:r w:rsidRPr="00F94D0B">
        <w:rPr>
          <w:rFonts w:cs="Arial"/>
          <w:szCs w:val="22"/>
          <w:u w:val="single"/>
          <w:lang w:val="en-GB"/>
        </w:rPr>
        <w:br w:type="page"/>
      </w:r>
    </w:p>
    <w:p w:rsidR="006A6994" w:rsidRPr="00F94D0B" w:rsidRDefault="00920927" w:rsidP="009003AB">
      <w:pPr>
        <w:spacing w:before="100" w:beforeAutospacing="1" w:after="100" w:afterAutospacing="1"/>
        <w:jc w:val="both"/>
        <w:rPr>
          <w:rFonts w:cs="Arial"/>
          <w:b/>
          <w:szCs w:val="22"/>
          <w:lang w:val="en-GB"/>
        </w:rPr>
      </w:pPr>
      <w:r>
        <w:rPr>
          <w:rFonts w:cs="Arial"/>
          <w:noProof/>
        </w:rPr>
        <w:drawing>
          <wp:inline distT="0" distB="0" distL="0" distR="0">
            <wp:extent cx="5629275" cy="5600700"/>
            <wp:effectExtent l="0" t="0" r="9525" b="0"/>
            <wp:docPr id="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5">
                      <a:extLst>
                        <a:ext uri="{28A0092B-C50C-407E-A947-70E740481C1C}">
                          <a14:useLocalDpi xmlns:a14="http://schemas.microsoft.com/office/drawing/2010/main" val="0"/>
                        </a:ext>
                      </a:extLst>
                    </a:blip>
                    <a:srcRect l="22603" t="8115" r="22382" b="4393"/>
                    <a:stretch>
                      <a:fillRect/>
                    </a:stretch>
                  </pic:blipFill>
                  <pic:spPr bwMode="auto">
                    <a:xfrm>
                      <a:off x="0" y="0"/>
                      <a:ext cx="5629275" cy="5600700"/>
                    </a:xfrm>
                    <a:prstGeom prst="rect">
                      <a:avLst/>
                    </a:prstGeom>
                    <a:noFill/>
                    <a:ln>
                      <a:noFill/>
                    </a:ln>
                  </pic:spPr>
                </pic:pic>
              </a:graphicData>
            </a:graphic>
          </wp:inline>
        </w:drawing>
      </w:r>
    </w:p>
    <w:p w:rsidR="006A6994" w:rsidRPr="00F94D0B" w:rsidRDefault="006A6994" w:rsidP="009003AB">
      <w:pPr>
        <w:spacing w:before="100" w:beforeAutospacing="1" w:after="100" w:afterAutospacing="1"/>
        <w:jc w:val="both"/>
        <w:rPr>
          <w:rFonts w:cs="Arial"/>
          <w:b/>
          <w:szCs w:val="22"/>
          <w:lang w:val="en-GB"/>
        </w:rPr>
      </w:pPr>
    </w:p>
    <w:p w:rsidR="006A6994" w:rsidRPr="00F94D0B" w:rsidRDefault="006A6994" w:rsidP="009003AB">
      <w:pPr>
        <w:spacing w:before="100" w:beforeAutospacing="1" w:after="100" w:afterAutospacing="1"/>
        <w:jc w:val="both"/>
        <w:rPr>
          <w:rFonts w:cs="Arial"/>
          <w:b/>
          <w:szCs w:val="22"/>
          <w:lang w:val="en-GB"/>
        </w:rPr>
        <w:sectPr w:rsidR="006A6994" w:rsidRPr="00F94D0B" w:rsidSect="003D5CB0">
          <w:headerReference w:type="default" r:id="rId16"/>
          <w:footerReference w:type="default" r:id="rId17"/>
          <w:type w:val="continuous"/>
          <w:pgSz w:w="11906" w:h="16838"/>
          <w:pgMar w:top="1417" w:right="1417" w:bottom="1134" w:left="1417" w:header="708" w:footer="708" w:gutter="0"/>
          <w:cols w:space="708"/>
          <w:docGrid w:linePitch="360"/>
        </w:sectPr>
      </w:pPr>
    </w:p>
    <w:p w:rsidR="006A6994" w:rsidRDefault="00920927" w:rsidP="00774097">
      <w:pPr>
        <w:spacing w:before="100" w:beforeAutospacing="1" w:after="100" w:afterAutospacing="1"/>
        <w:rPr>
          <w:rFonts w:cs="Arial"/>
          <w:szCs w:val="22"/>
          <w:lang w:val="en-GB"/>
        </w:rPr>
      </w:pPr>
      <w:r>
        <w:rPr>
          <w:rFonts w:cs="Arial"/>
          <w:noProof/>
          <w:szCs w:val="22"/>
        </w:rPr>
        <w:lastRenderedPageBreak/>
        <w:drawing>
          <wp:inline distT="0" distB="0" distL="0" distR="0">
            <wp:extent cx="5562600" cy="3952875"/>
            <wp:effectExtent l="0" t="0" r="0" b="0"/>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600" cy="3952875"/>
                    </a:xfrm>
                    <a:prstGeom prst="rect">
                      <a:avLst/>
                    </a:prstGeom>
                    <a:noFill/>
                    <a:ln>
                      <a:noFill/>
                    </a:ln>
                  </pic:spPr>
                </pic:pic>
              </a:graphicData>
            </a:graphic>
          </wp:inline>
        </w:drawing>
      </w:r>
    </w:p>
    <w:p w:rsidR="006A6994" w:rsidRDefault="00920927" w:rsidP="00774097">
      <w:pPr>
        <w:spacing w:before="100" w:beforeAutospacing="1" w:after="100" w:afterAutospacing="1"/>
        <w:rPr>
          <w:rFonts w:cs="Arial"/>
          <w:szCs w:val="22"/>
          <w:lang w:val="en-GB"/>
        </w:rPr>
      </w:pPr>
      <w:r>
        <w:rPr>
          <w:rFonts w:cs="Arial"/>
          <w:noProof/>
          <w:szCs w:val="22"/>
        </w:rPr>
        <w:drawing>
          <wp:inline distT="0" distB="0" distL="0" distR="0">
            <wp:extent cx="6038850" cy="3724275"/>
            <wp:effectExtent l="0" t="0" r="0" b="0"/>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8850" cy="3724275"/>
                    </a:xfrm>
                    <a:prstGeom prst="rect">
                      <a:avLst/>
                    </a:prstGeom>
                    <a:noFill/>
                    <a:ln>
                      <a:noFill/>
                    </a:ln>
                  </pic:spPr>
                </pic:pic>
              </a:graphicData>
            </a:graphic>
          </wp:inline>
        </w:drawing>
      </w:r>
    </w:p>
    <w:p w:rsidR="006A6994" w:rsidRDefault="00920927" w:rsidP="00774097">
      <w:pPr>
        <w:spacing w:before="100" w:beforeAutospacing="1" w:after="100" w:afterAutospacing="1"/>
        <w:rPr>
          <w:rFonts w:cs="Arial"/>
          <w:szCs w:val="22"/>
          <w:lang w:val="en-GB"/>
        </w:rPr>
      </w:pPr>
      <w:r>
        <w:rPr>
          <w:rFonts w:cs="Arial"/>
          <w:noProof/>
          <w:szCs w:val="22"/>
        </w:rPr>
        <w:lastRenderedPageBreak/>
        <w:drawing>
          <wp:inline distT="0" distB="0" distL="0" distR="0">
            <wp:extent cx="6038850" cy="37242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8850" cy="3724275"/>
                    </a:xfrm>
                    <a:prstGeom prst="rect">
                      <a:avLst/>
                    </a:prstGeom>
                    <a:noFill/>
                    <a:ln>
                      <a:noFill/>
                    </a:ln>
                  </pic:spPr>
                </pic:pic>
              </a:graphicData>
            </a:graphic>
          </wp:inline>
        </w:drawing>
      </w:r>
    </w:p>
    <w:p w:rsidR="006A6994" w:rsidRDefault="00920927" w:rsidP="00774097">
      <w:pPr>
        <w:spacing w:before="100" w:beforeAutospacing="1" w:after="100" w:afterAutospacing="1"/>
        <w:rPr>
          <w:rFonts w:cs="Arial"/>
          <w:szCs w:val="22"/>
          <w:lang w:val="en-GB"/>
        </w:rPr>
      </w:pPr>
      <w:r>
        <w:rPr>
          <w:rFonts w:cs="Arial"/>
          <w:noProof/>
          <w:szCs w:val="22"/>
        </w:rPr>
        <w:drawing>
          <wp:inline distT="0" distB="0" distL="0" distR="0">
            <wp:extent cx="5686425" cy="3962400"/>
            <wp:effectExtent l="0" t="0" r="0" b="0"/>
            <wp:docPr id="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6425" cy="3962400"/>
                    </a:xfrm>
                    <a:prstGeom prst="rect">
                      <a:avLst/>
                    </a:prstGeom>
                    <a:noFill/>
                    <a:ln>
                      <a:noFill/>
                    </a:ln>
                  </pic:spPr>
                </pic:pic>
              </a:graphicData>
            </a:graphic>
          </wp:inline>
        </w:drawing>
      </w:r>
    </w:p>
    <w:p w:rsidR="006A6994" w:rsidRDefault="00920927" w:rsidP="00774097">
      <w:pPr>
        <w:spacing w:before="100" w:beforeAutospacing="1" w:after="100" w:afterAutospacing="1"/>
        <w:rPr>
          <w:rFonts w:cs="Arial"/>
          <w:szCs w:val="22"/>
          <w:lang w:val="en-GB"/>
        </w:rPr>
      </w:pPr>
      <w:r>
        <w:rPr>
          <w:rFonts w:cs="Arial"/>
          <w:noProof/>
          <w:szCs w:val="22"/>
        </w:rPr>
        <w:lastRenderedPageBreak/>
        <w:drawing>
          <wp:inline distT="0" distB="0" distL="0" distR="0">
            <wp:extent cx="5448300" cy="3838575"/>
            <wp:effectExtent l="0" t="0" r="0" b="0"/>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8300" cy="3838575"/>
                    </a:xfrm>
                    <a:prstGeom prst="rect">
                      <a:avLst/>
                    </a:prstGeom>
                    <a:noFill/>
                    <a:ln>
                      <a:noFill/>
                    </a:ln>
                  </pic:spPr>
                </pic:pic>
              </a:graphicData>
            </a:graphic>
          </wp:inline>
        </w:drawing>
      </w:r>
    </w:p>
    <w:p w:rsidR="006A6994" w:rsidRDefault="00920927" w:rsidP="00774097">
      <w:pPr>
        <w:spacing w:before="100" w:beforeAutospacing="1" w:after="100" w:afterAutospacing="1"/>
        <w:rPr>
          <w:rFonts w:cs="Arial"/>
          <w:szCs w:val="22"/>
          <w:lang w:val="en-GB"/>
        </w:rPr>
      </w:pPr>
      <w:bookmarkStart w:id="0" w:name="_GoBack"/>
      <w:r>
        <w:rPr>
          <w:rFonts w:cs="Arial"/>
          <w:noProof/>
          <w:szCs w:val="22"/>
        </w:rPr>
        <w:drawing>
          <wp:inline distT="0" distB="0" distL="0" distR="0">
            <wp:extent cx="6038850" cy="3724275"/>
            <wp:effectExtent l="0" t="0" r="0" b="9525"/>
            <wp:docPr id="1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8850" cy="3724275"/>
                    </a:xfrm>
                    <a:prstGeom prst="rect">
                      <a:avLst/>
                    </a:prstGeom>
                    <a:noFill/>
                    <a:ln>
                      <a:noFill/>
                    </a:ln>
                  </pic:spPr>
                </pic:pic>
              </a:graphicData>
            </a:graphic>
          </wp:inline>
        </w:drawing>
      </w:r>
      <w:bookmarkEnd w:id="0"/>
    </w:p>
    <w:p w:rsidR="006A6994" w:rsidRDefault="00920927" w:rsidP="00774097">
      <w:pPr>
        <w:spacing w:before="100" w:beforeAutospacing="1" w:after="100" w:afterAutospacing="1"/>
        <w:rPr>
          <w:rFonts w:cs="Arial"/>
          <w:szCs w:val="22"/>
          <w:lang w:val="en-GB"/>
        </w:rPr>
      </w:pPr>
      <w:r>
        <w:rPr>
          <w:rFonts w:cs="Arial"/>
          <w:noProof/>
          <w:szCs w:val="22"/>
        </w:rPr>
        <w:lastRenderedPageBreak/>
        <w:drawing>
          <wp:inline distT="0" distB="0" distL="0" distR="0">
            <wp:extent cx="5753100" cy="3971925"/>
            <wp:effectExtent l="0" t="0" r="0" b="0"/>
            <wp:docPr id="1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3971925"/>
                    </a:xfrm>
                    <a:prstGeom prst="rect">
                      <a:avLst/>
                    </a:prstGeom>
                    <a:noFill/>
                    <a:ln>
                      <a:noFill/>
                    </a:ln>
                  </pic:spPr>
                </pic:pic>
              </a:graphicData>
            </a:graphic>
          </wp:inline>
        </w:drawing>
      </w:r>
    </w:p>
    <w:p w:rsidR="006A6994" w:rsidRPr="00F94D0B" w:rsidRDefault="00920927" w:rsidP="00774097">
      <w:pPr>
        <w:spacing w:before="100" w:beforeAutospacing="1" w:after="100" w:afterAutospacing="1"/>
        <w:rPr>
          <w:rFonts w:cs="Arial"/>
          <w:szCs w:val="22"/>
          <w:lang w:val="en-GB"/>
        </w:rPr>
      </w:pPr>
      <w:r>
        <w:rPr>
          <w:rFonts w:cs="Arial"/>
          <w:noProof/>
          <w:szCs w:val="22"/>
        </w:rPr>
        <w:drawing>
          <wp:inline distT="0" distB="0" distL="0" distR="0">
            <wp:extent cx="6038850" cy="3724275"/>
            <wp:effectExtent l="0" t="0" r="0" b="0"/>
            <wp:docPr id="1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8850" cy="3724275"/>
                    </a:xfrm>
                    <a:prstGeom prst="rect">
                      <a:avLst/>
                    </a:prstGeom>
                    <a:noFill/>
                    <a:ln>
                      <a:noFill/>
                    </a:ln>
                  </pic:spPr>
                </pic:pic>
              </a:graphicData>
            </a:graphic>
          </wp:inline>
        </w:drawing>
      </w:r>
    </w:p>
    <w:sectPr w:rsidR="006A6994" w:rsidRPr="00F94D0B" w:rsidSect="003D5CB0">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3A" w:rsidRDefault="00C86F3A" w:rsidP="0076315B">
      <w:r>
        <w:separator/>
      </w:r>
    </w:p>
  </w:endnote>
  <w:endnote w:type="continuationSeparator" w:id="0">
    <w:p w:rsidR="00C86F3A" w:rsidRDefault="00C86F3A" w:rsidP="0076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94" w:rsidRPr="00805562" w:rsidRDefault="00920927" w:rsidP="00804DA1">
    <w:pPr>
      <w:pStyle w:val="Fuzeile"/>
      <w:ind w:right="-426"/>
    </w:pPr>
    <w:r>
      <w:rPr>
        <w:noProof/>
      </w:rPr>
      <w:drawing>
        <wp:inline distT="0" distB="0" distL="0" distR="0">
          <wp:extent cx="3171825" cy="657225"/>
          <wp:effectExtent l="0" t="0" r="9525" b="9525"/>
          <wp:docPr id="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657225"/>
                  </a:xfrm>
                  <a:prstGeom prst="rect">
                    <a:avLst/>
                  </a:prstGeom>
                  <a:noFill/>
                  <a:ln>
                    <a:noFill/>
                  </a:ln>
                </pic:spPr>
              </pic:pic>
            </a:graphicData>
          </a:graphic>
        </wp:inline>
      </w:drawing>
    </w:r>
    <w:r w:rsidR="006A6994">
      <w:t xml:space="preserve">                     </w:t>
    </w:r>
    <w:r>
      <w:rPr>
        <w:noProof/>
      </w:rPr>
      <w:drawing>
        <wp:inline distT="0" distB="0" distL="0" distR="0">
          <wp:extent cx="1828800" cy="695325"/>
          <wp:effectExtent l="0" t="0" r="0" b="9525"/>
          <wp:docPr id="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2">
                    <a:extLst>
                      <a:ext uri="{28A0092B-C50C-407E-A947-70E740481C1C}">
                        <a14:useLocalDpi xmlns:a14="http://schemas.microsoft.com/office/drawing/2010/main" val="0"/>
                      </a:ext>
                    </a:extLst>
                  </a:blip>
                  <a:srcRect l="26572" t="29837" r="19383" b="25099"/>
                  <a:stretch>
                    <a:fillRect/>
                  </a:stretch>
                </pic:blipFill>
                <pic:spPr bwMode="auto">
                  <a:xfrm>
                    <a:off x="0" y="0"/>
                    <a:ext cx="1828800"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3A" w:rsidRDefault="00C86F3A" w:rsidP="0076315B">
      <w:r>
        <w:separator/>
      </w:r>
    </w:p>
  </w:footnote>
  <w:footnote w:type="continuationSeparator" w:id="0">
    <w:p w:rsidR="00C86F3A" w:rsidRDefault="00C86F3A" w:rsidP="00763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94" w:rsidRDefault="00920927" w:rsidP="00B029B0">
    <w:pPr>
      <w:pStyle w:val="Kopfzeile"/>
      <w:ind w:left="-426" w:right="-142"/>
    </w:pPr>
    <w:r>
      <w:rPr>
        <w:noProof/>
      </w:rPr>
      <w:drawing>
        <wp:inline distT="0" distB="0" distL="0" distR="0">
          <wp:extent cx="1485900" cy="666750"/>
          <wp:effectExtent l="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r w:rsidR="006A6994">
      <w:t xml:space="preserve">                                                                   </w:t>
    </w:r>
    <w:r>
      <w:rPr>
        <w:noProof/>
      </w:rPr>
      <w:drawing>
        <wp:inline distT="0" distB="0" distL="0" distR="0">
          <wp:extent cx="1990725" cy="600075"/>
          <wp:effectExtent l="0" t="0" r="9525" b="9525"/>
          <wp:docPr id="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0EC"/>
    <w:multiLevelType w:val="multilevel"/>
    <w:tmpl w:val="18A0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33F2A"/>
    <w:multiLevelType w:val="multilevel"/>
    <w:tmpl w:val="E4C6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10B9B"/>
    <w:multiLevelType w:val="hybridMultilevel"/>
    <w:tmpl w:val="52F8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275CE"/>
    <w:multiLevelType w:val="hybridMultilevel"/>
    <w:tmpl w:val="3F6A32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6037D65"/>
    <w:multiLevelType w:val="hybridMultilevel"/>
    <w:tmpl w:val="B184C4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2C13211A"/>
    <w:multiLevelType w:val="hybridMultilevel"/>
    <w:tmpl w:val="7812BA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EF947AB"/>
    <w:multiLevelType w:val="hybridMultilevel"/>
    <w:tmpl w:val="7DB29D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2216A18"/>
    <w:multiLevelType w:val="multilevel"/>
    <w:tmpl w:val="D4BE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E42B83"/>
    <w:multiLevelType w:val="multilevel"/>
    <w:tmpl w:val="1240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08405D"/>
    <w:multiLevelType w:val="multilevel"/>
    <w:tmpl w:val="0318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0"/>
  </w:num>
  <w:num w:numId="5">
    <w:abstractNumId w:val="8"/>
  </w:num>
  <w:num w:numId="6">
    <w:abstractNumId w:val="4"/>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8A"/>
    <w:rsid w:val="00020B80"/>
    <w:rsid w:val="000411B1"/>
    <w:rsid w:val="00055CEA"/>
    <w:rsid w:val="00075755"/>
    <w:rsid w:val="00091838"/>
    <w:rsid w:val="00097E98"/>
    <w:rsid w:val="000C1B0C"/>
    <w:rsid w:val="000E1E47"/>
    <w:rsid w:val="000F16EA"/>
    <w:rsid w:val="000F3073"/>
    <w:rsid w:val="00105E46"/>
    <w:rsid w:val="001118A4"/>
    <w:rsid w:val="00152D7D"/>
    <w:rsid w:val="001638AE"/>
    <w:rsid w:val="001712C0"/>
    <w:rsid w:val="00196624"/>
    <w:rsid w:val="001B41B9"/>
    <w:rsid w:val="001B4289"/>
    <w:rsid w:val="001B5F7B"/>
    <w:rsid w:val="001C3956"/>
    <w:rsid w:val="001C71D9"/>
    <w:rsid w:val="001D69FF"/>
    <w:rsid w:val="001E2DAC"/>
    <w:rsid w:val="001E2EF2"/>
    <w:rsid w:val="00210DA4"/>
    <w:rsid w:val="00217CF0"/>
    <w:rsid w:val="00235D53"/>
    <w:rsid w:val="00236647"/>
    <w:rsid w:val="0024225D"/>
    <w:rsid w:val="00251BDE"/>
    <w:rsid w:val="002605AB"/>
    <w:rsid w:val="00277E6C"/>
    <w:rsid w:val="00291A7F"/>
    <w:rsid w:val="002940AF"/>
    <w:rsid w:val="002B1531"/>
    <w:rsid w:val="002B483A"/>
    <w:rsid w:val="002C1586"/>
    <w:rsid w:val="002C4FE7"/>
    <w:rsid w:val="002C73A4"/>
    <w:rsid w:val="002D1722"/>
    <w:rsid w:val="003006CE"/>
    <w:rsid w:val="00304E76"/>
    <w:rsid w:val="003152E2"/>
    <w:rsid w:val="0033396F"/>
    <w:rsid w:val="00371577"/>
    <w:rsid w:val="00382457"/>
    <w:rsid w:val="00382703"/>
    <w:rsid w:val="003852FD"/>
    <w:rsid w:val="00393E10"/>
    <w:rsid w:val="003C02C4"/>
    <w:rsid w:val="003D5CB0"/>
    <w:rsid w:val="003D7ED3"/>
    <w:rsid w:val="00432CE4"/>
    <w:rsid w:val="00455938"/>
    <w:rsid w:val="004816C7"/>
    <w:rsid w:val="00484859"/>
    <w:rsid w:val="00492ABD"/>
    <w:rsid w:val="004953B4"/>
    <w:rsid w:val="00495E6C"/>
    <w:rsid w:val="004A3035"/>
    <w:rsid w:val="004A4BB5"/>
    <w:rsid w:val="004B3A44"/>
    <w:rsid w:val="004D15FB"/>
    <w:rsid w:val="004F4C9B"/>
    <w:rsid w:val="00507069"/>
    <w:rsid w:val="00513D80"/>
    <w:rsid w:val="0052374B"/>
    <w:rsid w:val="00582C1F"/>
    <w:rsid w:val="00594EFF"/>
    <w:rsid w:val="00595D56"/>
    <w:rsid w:val="005C7DC5"/>
    <w:rsid w:val="005E610B"/>
    <w:rsid w:val="006452D7"/>
    <w:rsid w:val="0064561A"/>
    <w:rsid w:val="00677C5D"/>
    <w:rsid w:val="006937F7"/>
    <w:rsid w:val="0069499E"/>
    <w:rsid w:val="006A6994"/>
    <w:rsid w:val="006B56B3"/>
    <w:rsid w:val="006C7105"/>
    <w:rsid w:val="006D1FC6"/>
    <w:rsid w:val="00714B46"/>
    <w:rsid w:val="00715D07"/>
    <w:rsid w:val="00727B09"/>
    <w:rsid w:val="00733A87"/>
    <w:rsid w:val="007522C2"/>
    <w:rsid w:val="00754CAB"/>
    <w:rsid w:val="0076315B"/>
    <w:rsid w:val="007717C4"/>
    <w:rsid w:val="00774097"/>
    <w:rsid w:val="0077548F"/>
    <w:rsid w:val="007756BF"/>
    <w:rsid w:val="00792D03"/>
    <w:rsid w:val="007B6373"/>
    <w:rsid w:val="007B6BF7"/>
    <w:rsid w:val="007B7974"/>
    <w:rsid w:val="007D412B"/>
    <w:rsid w:val="007F58CF"/>
    <w:rsid w:val="00804DA1"/>
    <w:rsid w:val="00805562"/>
    <w:rsid w:val="00810923"/>
    <w:rsid w:val="00812471"/>
    <w:rsid w:val="00844F91"/>
    <w:rsid w:val="00856F5A"/>
    <w:rsid w:val="00861490"/>
    <w:rsid w:val="00890502"/>
    <w:rsid w:val="008B199B"/>
    <w:rsid w:val="008C298A"/>
    <w:rsid w:val="008D3308"/>
    <w:rsid w:val="008E410F"/>
    <w:rsid w:val="008F2153"/>
    <w:rsid w:val="009003AB"/>
    <w:rsid w:val="00920927"/>
    <w:rsid w:val="00934601"/>
    <w:rsid w:val="00944587"/>
    <w:rsid w:val="009720A9"/>
    <w:rsid w:val="009743B3"/>
    <w:rsid w:val="009921A7"/>
    <w:rsid w:val="009A7FFD"/>
    <w:rsid w:val="009B6D75"/>
    <w:rsid w:val="009C17E0"/>
    <w:rsid w:val="009C6463"/>
    <w:rsid w:val="009E032C"/>
    <w:rsid w:val="009E782D"/>
    <w:rsid w:val="009F6D9D"/>
    <w:rsid w:val="00A03A13"/>
    <w:rsid w:val="00A04AD5"/>
    <w:rsid w:val="00A544D4"/>
    <w:rsid w:val="00A735D3"/>
    <w:rsid w:val="00A901DA"/>
    <w:rsid w:val="00AA48C3"/>
    <w:rsid w:val="00AD270D"/>
    <w:rsid w:val="00AD66C4"/>
    <w:rsid w:val="00AF7679"/>
    <w:rsid w:val="00B029B0"/>
    <w:rsid w:val="00B06385"/>
    <w:rsid w:val="00B1034B"/>
    <w:rsid w:val="00B20A7D"/>
    <w:rsid w:val="00B43C63"/>
    <w:rsid w:val="00B7034D"/>
    <w:rsid w:val="00B70F97"/>
    <w:rsid w:val="00B733F4"/>
    <w:rsid w:val="00B73F3F"/>
    <w:rsid w:val="00B80462"/>
    <w:rsid w:val="00B82FD4"/>
    <w:rsid w:val="00BA15C0"/>
    <w:rsid w:val="00BA675A"/>
    <w:rsid w:val="00BB09DB"/>
    <w:rsid w:val="00BC7CE7"/>
    <w:rsid w:val="00BE4765"/>
    <w:rsid w:val="00BF1B4E"/>
    <w:rsid w:val="00C06CDF"/>
    <w:rsid w:val="00C2348D"/>
    <w:rsid w:val="00C50AAA"/>
    <w:rsid w:val="00C51731"/>
    <w:rsid w:val="00C6238A"/>
    <w:rsid w:val="00C762C4"/>
    <w:rsid w:val="00C77E49"/>
    <w:rsid w:val="00C80DD2"/>
    <w:rsid w:val="00C853BE"/>
    <w:rsid w:val="00C86F3A"/>
    <w:rsid w:val="00C921B2"/>
    <w:rsid w:val="00C9478F"/>
    <w:rsid w:val="00D11FCD"/>
    <w:rsid w:val="00D42198"/>
    <w:rsid w:val="00D61784"/>
    <w:rsid w:val="00D96C4F"/>
    <w:rsid w:val="00DA42AB"/>
    <w:rsid w:val="00DA73A4"/>
    <w:rsid w:val="00DC42B0"/>
    <w:rsid w:val="00DC4CE2"/>
    <w:rsid w:val="00DD5C55"/>
    <w:rsid w:val="00DD6164"/>
    <w:rsid w:val="00DE01C3"/>
    <w:rsid w:val="00DF5821"/>
    <w:rsid w:val="00E0655D"/>
    <w:rsid w:val="00E2789D"/>
    <w:rsid w:val="00E56581"/>
    <w:rsid w:val="00E6175D"/>
    <w:rsid w:val="00ED7BFC"/>
    <w:rsid w:val="00EE48ED"/>
    <w:rsid w:val="00EF0A1E"/>
    <w:rsid w:val="00F02371"/>
    <w:rsid w:val="00F15A9F"/>
    <w:rsid w:val="00F6084F"/>
    <w:rsid w:val="00F7132C"/>
    <w:rsid w:val="00F77ECD"/>
    <w:rsid w:val="00F8143A"/>
    <w:rsid w:val="00F94D0B"/>
    <w:rsid w:val="00FA7E7D"/>
    <w:rsid w:val="00FC68AB"/>
    <w:rsid w:val="00FF30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7105"/>
    <w:pPr>
      <w:spacing w:before="40" w:after="40" w:line="360" w:lineRule="auto"/>
    </w:pPr>
    <w:rPr>
      <w:rFonts w:ascii="Arial" w:hAnsi="Arial"/>
      <w:szCs w:val="20"/>
      <w:lang w:val="de-CH" w:eastAsia="de-CH"/>
    </w:rPr>
  </w:style>
  <w:style w:type="paragraph" w:styleId="berschrift1">
    <w:name w:val="heading 1"/>
    <w:basedOn w:val="Standard"/>
    <w:link w:val="berschrift1Zchn"/>
    <w:uiPriority w:val="99"/>
    <w:qFormat/>
    <w:rsid w:val="008C298A"/>
    <w:pPr>
      <w:spacing w:before="100" w:beforeAutospacing="1" w:after="100" w:afterAutospacing="1"/>
      <w:outlineLvl w:val="0"/>
    </w:pPr>
    <w:rPr>
      <w:rFonts w:ascii="Times New Roman" w:eastAsia="Times New Roman" w:hAnsi="Times New Roman"/>
      <w:b/>
      <w:bCs/>
      <w:kern w:val="36"/>
      <w:sz w:val="48"/>
      <w:szCs w:val="48"/>
    </w:rPr>
  </w:style>
  <w:style w:type="paragraph" w:styleId="berschrift2">
    <w:name w:val="heading 2"/>
    <w:basedOn w:val="Standard"/>
    <w:link w:val="berschrift2Zchn"/>
    <w:uiPriority w:val="99"/>
    <w:qFormat/>
    <w:rsid w:val="008C298A"/>
    <w:pPr>
      <w:spacing w:before="100" w:beforeAutospacing="1" w:after="100" w:afterAutospacing="1"/>
      <w:outlineLvl w:val="1"/>
    </w:pPr>
    <w:rPr>
      <w:rFonts w:ascii="Times New Roman" w:eastAsia="Times New Roman" w:hAnsi="Times New Roman"/>
      <w:b/>
      <w:bCs/>
      <w:sz w:val="36"/>
      <w:szCs w:val="36"/>
    </w:rPr>
  </w:style>
  <w:style w:type="paragraph" w:styleId="berschrift3">
    <w:name w:val="heading 3"/>
    <w:basedOn w:val="Standard"/>
    <w:link w:val="berschrift3Zchn"/>
    <w:uiPriority w:val="99"/>
    <w:qFormat/>
    <w:rsid w:val="008C298A"/>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C298A"/>
    <w:rPr>
      <w:rFonts w:ascii="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9"/>
    <w:locked/>
    <w:rsid w:val="008C298A"/>
    <w:rPr>
      <w:rFonts w:ascii="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9"/>
    <w:locked/>
    <w:rsid w:val="008C298A"/>
    <w:rPr>
      <w:rFonts w:ascii="Times New Roman" w:hAnsi="Times New Roman" w:cs="Times New Roman"/>
      <w:b/>
      <w:bCs/>
      <w:sz w:val="27"/>
      <w:szCs w:val="27"/>
      <w:lang w:eastAsia="de-CH"/>
    </w:rPr>
  </w:style>
  <w:style w:type="character" w:styleId="Hyperlink">
    <w:name w:val="Hyperlink"/>
    <w:basedOn w:val="Absatz-Standardschriftart"/>
    <w:uiPriority w:val="99"/>
    <w:rsid w:val="008C298A"/>
    <w:rPr>
      <w:rFonts w:cs="Times New Roman"/>
      <w:color w:val="0000FF"/>
      <w:u w:val="single"/>
    </w:rPr>
  </w:style>
  <w:style w:type="paragraph" w:styleId="StandardWeb">
    <w:name w:val="Normal (Web)"/>
    <w:basedOn w:val="Standard"/>
    <w:uiPriority w:val="99"/>
    <w:semiHidden/>
    <w:rsid w:val="008C298A"/>
    <w:pPr>
      <w:spacing w:before="100" w:beforeAutospacing="1" w:after="100" w:afterAutospacing="1"/>
    </w:pPr>
    <w:rPr>
      <w:rFonts w:ascii="Times New Roman" w:eastAsia="Times New Roman" w:hAnsi="Times New Roman"/>
      <w:sz w:val="24"/>
      <w:szCs w:val="24"/>
    </w:rPr>
  </w:style>
  <w:style w:type="character" w:styleId="Fett">
    <w:name w:val="Strong"/>
    <w:basedOn w:val="Absatz-Standardschriftart"/>
    <w:uiPriority w:val="99"/>
    <w:qFormat/>
    <w:rsid w:val="008C298A"/>
    <w:rPr>
      <w:rFonts w:cs="Times New Roman"/>
      <w:b/>
      <w:bCs/>
    </w:rPr>
  </w:style>
  <w:style w:type="character" w:customStyle="1" w:styleId="hidemail">
    <w:name w:val="hidemail"/>
    <w:basedOn w:val="Absatz-Standardschriftart"/>
    <w:uiPriority w:val="99"/>
    <w:rsid w:val="008C298A"/>
    <w:rPr>
      <w:rFonts w:cs="Times New Roman"/>
    </w:rPr>
  </w:style>
  <w:style w:type="paragraph" w:styleId="Sprechblasentext">
    <w:name w:val="Balloon Text"/>
    <w:basedOn w:val="Standard"/>
    <w:link w:val="SprechblasentextZchn"/>
    <w:uiPriority w:val="99"/>
    <w:semiHidden/>
    <w:rsid w:val="008C29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C298A"/>
    <w:rPr>
      <w:rFonts w:ascii="Tahoma" w:hAnsi="Tahoma" w:cs="Tahoma"/>
      <w:sz w:val="16"/>
      <w:szCs w:val="16"/>
      <w:lang w:eastAsia="de-CH"/>
    </w:rPr>
  </w:style>
  <w:style w:type="character" w:styleId="Kommentarzeichen">
    <w:name w:val="annotation reference"/>
    <w:basedOn w:val="Absatz-Standardschriftart"/>
    <w:uiPriority w:val="99"/>
    <w:semiHidden/>
    <w:rsid w:val="00E0655D"/>
    <w:rPr>
      <w:rFonts w:cs="Times New Roman"/>
      <w:sz w:val="16"/>
      <w:szCs w:val="16"/>
    </w:rPr>
  </w:style>
  <w:style w:type="paragraph" w:styleId="Kommentartext">
    <w:name w:val="annotation text"/>
    <w:basedOn w:val="Standard"/>
    <w:link w:val="KommentartextZchn"/>
    <w:uiPriority w:val="99"/>
    <w:semiHidden/>
    <w:rsid w:val="00E0655D"/>
  </w:style>
  <w:style w:type="character" w:customStyle="1" w:styleId="KommentartextZchn">
    <w:name w:val="Kommentartext Zchn"/>
    <w:basedOn w:val="Absatz-Standardschriftart"/>
    <w:link w:val="Kommentartext"/>
    <w:uiPriority w:val="99"/>
    <w:semiHidden/>
    <w:locked/>
    <w:rsid w:val="00E0655D"/>
    <w:rPr>
      <w:rFonts w:ascii="Times" w:hAnsi="Times" w:cs="Times New Roman"/>
      <w:sz w:val="20"/>
      <w:szCs w:val="20"/>
      <w:lang w:eastAsia="de-CH"/>
    </w:rPr>
  </w:style>
  <w:style w:type="paragraph" w:styleId="Kommentarthema">
    <w:name w:val="annotation subject"/>
    <w:basedOn w:val="Kommentartext"/>
    <w:next w:val="Kommentartext"/>
    <w:link w:val="KommentarthemaZchn"/>
    <w:uiPriority w:val="99"/>
    <w:semiHidden/>
    <w:rsid w:val="00E0655D"/>
    <w:rPr>
      <w:b/>
      <w:bCs/>
    </w:rPr>
  </w:style>
  <w:style w:type="character" w:customStyle="1" w:styleId="KommentarthemaZchn">
    <w:name w:val="Kommentarthema Zchn"/>
    <w:basedOn w:val="KommentartextZchn"/>
    <w:link w:val="Kommentarthema"/>
    <w:uiPriority w:val="99"/>
    <w:semiHidden/>
    <w:locked/>
    <w:rsid w:val="00E0655D"/>
    <w:rPr>
      <w:rFonts w:ascii="Times" w:hAnsi="Times" w:cs="Times New Roman"/>
      <w:b/>
      <w:bCs/>
      <w:sz w:val="20"/>
      <w:szCs w:val="20"/>
      <w:lang w:eastAsia="de-CH"/>
    </w:rPr>
  </w:style>
  <w:style w:type="character" w:customStyle="1" w:styleId="apple-converted-space">
    <w:name w:val="apple-converted-space"/>
    <w:basedOn w:val="Absatz-Standardschriftart"/>
    <w:uiPriority w:val="99"/>
    <w:rsid w:val="004F4C9B"/>
    <w:rPr>
      <w:rFonts w:cs="Times New Roman"/>
    </w:rPr>
  </w:style>
  <w:style w:type="character" w:styleId="BesuchterHyperlink">
    <w:name w:val="FollowedHyperlink"/>
    <w:basedOn w:val="Absatz-Standardschriftart"/>
    <w:uiPriority w:val="99"/>
    <w:semiHidden/>
    <w:rsid w:val="007756BF"/>
    <w:rPr>
      <w:rFonts w:cs="Times New Roman"/>
      <w:color w:val="800080"/>
      <w:u w:val="single"/>
    </w:rPr>
  </w:style>
  <w:style w:type="paragraph" w:styleId="Kopfzeile">
    <w:name w:val="header"/>
    <w:basedOn w:val="Standard"/>
    <w:link w:val="KopfzeileZchn"/>
    <w:uiPriority w:val="99"/>
    <w:rsid w:val="0076315B"/>
    <w:pPr>
      <w:tabs>
        <w:tab w:val="center" w:pos="4320"/>
        <w:tab w:val="right" w:pos="8640"/>
      </w:tabs>
    </w:pPr>
  </w:style>
  <w:style w:type="character" w:customStyle="1" w:styleId="KopfzeileZchn">
    <w:name w:val="Kopfzeile Zchn"/>
    <w:basedOn w:val="Absatz-Standardschriftart"/>
    <w:link w:val="Kopfzeile"/>
    <w:uiPriority w:val="99"/>
    <w:locked/>
    <w:rsid w:val="0076315B"/>
    <w:rPr>
      <w:rFonts w:ascii="Times" w:hAnsi="Times" w:cs="Times New Roman"/>
      <w:sz w:val="20"/>
      <w:szCs w:val="20"/>
      <w:lang w:eastAsia="de-CH"/>
    </w:rPr>
  </w:style>
  <w:style w:type="paragraph" w:styleId="Fuzeile">
    <w:name w:val="footer"/>
    <w:basedOn w:val="Standard"/>
    <w:link w:val="FuzeileZchn"/>
    <w:uiPriority w:val="99"/>
    <w:rsid w:val="0076315B"/>
    <w:pPr>
      <w:tabs>
        <w:tab w:val="center" w:pos="4320"/>
        <w:tab w:val="right" w:pos="8640"/>
      </w:tabs>
    </w:pPr>
  </w:style>
  <w:style w:type="character" w:customStyle="1" w:styleId="FuzeileZchn">
    <w:name w:val="Fußzeile Zchn"/>
    <w:basedOn w:val="Absatz-Standardschriftart"/>
    <w:link w:val="Fuzeile"/>
    <w:uiPriority w:val="99"/>
    <w:locked/>
    <w:rsid w:val="0076315B"/>
    <w:rPr>
      <w:rFonts w:ascii="Times" w:hAnsi="Times" w:cs="Times New Roman"/>
      <w:sz w:val="20"/>
      <w:szCs w:val="20"/>
      <w:lang w:eastAsia="de-CH"/>
    </w:rPr>
  </w:style>
  <w:style w:type="paragraph" w:styleId="Funotentext">
    <w:name w:val="footnote text"/>
    <w:basedOn w:val="Standard"/>
    <w:link w:val="FunotentextZchn"/>
    <w:uiPriority w:val="99"/>
    <w:rsid w:val="00B7034D"/>
    <w:rPr>
      <w:sz w:val="24"/>
      <w:szCs w:val="24"/>
    </w:rPr>
  </w:style>
  <w:style w:type="character" w:customStyle="1" w:styleId="FunotentextZchn">
    <w:name w:val="Fußnotentext Zchn"/>
    <w:basedOn w:val="Absatz-Standardschriftart"/>
    <w:link w:val="Funotentext"/>
    <w:uiPriority w:val="99"/>
    <w:locked/>
    <w:rsid w:val="00B7034D"/>
    <w:rPr>
      <w:rFonts w:ascii="Times" w:hAnsi="Times" w:cs="Times New Roman"/>
      <w:sz w:val="24"/>
      <w:szCs w:val="24"/>
      <w:lang w:eastAsia="de-CH"/>
    </w:rPr>
  </w:style>
  <w:style w:type="character" w:styleId="Funotenzeichen">
    <w:name w:val="footnote reference"/>
    <w:aliases w:val="footnote sign,Ref,de nota al pie,Nota a piè di pagina"/>
    <w:basedOn w:val="Absatz-Standardschriftart"/>
    <w:uiPriority w:val="99"/>
    <w:rsid w:val="00B7034D"/>
    <w:rPr>
      <w:rFonts w:cs="Times New Roman"/>
      <w:vertAlign w:val="superscript"/>
    </w:rPr>
  </w:style>
  <w:style w:type="paragraph" w:styleId="Endnotentext">
    <w:name w:val="endnote text"/>
    <w:basedOn w:val="Standard"/>
    <w:link w:val="EndnotentextZchn"/>
    <w:uiPriority w:val="99"/>
    <w:rsid w:val="00B7034D"/>
    <w:rPr>
      <w:sz w:val="24"/>
      <w:szCs w:val="24"/>
    </w:rPr>
  </w:style>
  <w:style w:type="character" w:customStyle="1" w:styleId="EndnotentextZchn">
    <w:name w:val="Endnotentext Zchn"/>
    <w:basedOn w:val="Absatz-Standardschriftart"/>
    <w:link w:val="Endnotentext"/>
    <w:uiPriority w:val="99"/>
    <w:locked/>
    <w:rsid w:val="00B7034D"/>
    <w:rPr>
      <w:rFonts w:ascii="Times" w:hAnsi="Times" w:cs="Times New Roman"/>
      <w:sz w:val="24"/>
      <w:szCs w:val="24"/>
      <w:lang w:eastAsia="de-CH"/>
    </w:rPr>
  </w:style>
  <w:style w:type="character" w:styleId="Endnotenzeichen">
    <w:name w:val="endnote reference"/>
    <w:basedOn w:val="Absatz-Standardschriftart"/>
    <w:uiPriority w:val="99"/>
    <w:rsid w:val="00B7034D"/>
    <w:rPr>
      <w:rFonts w:cs="Times New Roman"/>
      <w:vertAlign w:val="superscript"/>
    </w:rPr>
  </w:style>
  <w:style w:type="character" w:styleId="Seitenzahl">
    <w:name w:val="page number"/>
    <w:basedOn w:val="Absatz-Standardschriftart"/>
    <w:uiPriority w:val="99"/>
    <w:semiHidden/>
    <w:rsid w:val="00805562"/>
    <w:rPr>
      <w:rFonts w:cs="Times New Roman"/>
    </w:rPr>
  </w:style>
  <w:style w:type="paragraph" w:styleId="KeinLeerraum">
    <w:name w:val="No Spacing"/>
    <w:uiPriority w:val="99"/>
    <w:qFormat/>
    <w:rsid w:val="006C7105"/>
    <w:rPr>
      <w:rFonts w:ascii="Arial" w:hAnsi="Arial"/>
      <w:szCs w:val="20"/>
      <w:lang w:val="de-CH" w:eastAsia="de-CH"/>
    </w:rPr>
  </w:style>
  <w:style w:type="paragraph" w:styleId="Listenabsatz">
    <w:name w:val="List Paragraph"/>
    <w:basedOn w:val="Standard"/>
    <w:uiPriority w:val="99"/>
    <w:qFormat/>
    <w:rsid w:val="003152E2"/>
    <w:pPr>
      <w:ind w:left="720"/>
      <w:contextualSpacing/>
    </w:pPr>
  </w:style>
  <w:style w:type="character" w:styleId="SchwacheHervorhebung">
    <w:name w:val="Subtle Emphasis"/>
    <w:basedOn w:val="Absatz-Standardschriftart"/>
    <w:uiPriority w:val="99"/>
    <w:qFormat/>
    <w:rsid w:val="003152E2"/>
    <w:rPr>
      <w:rFonts w:cs="Times New Roman"/>
      <w:i/>
      <w:iCs/>
      <w:color w:val="808080"/>
    </w:rPr>
  </w:style>
  <w:style w:type="character" w:styleId="Hervorhebung">
    <w:name w:val="Emphasis"/>
    <w:basedOn w:val="Absatz-Standardschriftart"/>
    <w:uiPriority w:val="99"/>
    <w:qFormat/>
    <w:rsid w:val="003152E2"/>
    <w:rPr>
      <w:rFonts w:cs="Times New Roman"/>
      <w:i/>
      <w:iCs/>
    </w:rPr>
  </w:style>
  <w:style w:type="character" w:styleId="IntensiveHervorhebung">
    <w:name w:val="Intense Emphasis"/>
    <w:basedOn w:val="Absatz-Standardschriftart"/>
    <w:uiPriority w:val="99"/>
    <w:qFormat/>
    <w:rsid w:val="003152E2"/>
    <w:rPr>
      <w:rFonts w:cs="Times New Roman"/>
      <w:b/>
      <w:bCs/>
      <w:i/>
      <w:iCs/>
      <w:color w:val="4F81BD"/>
    </w:rPr>
  </w:style>
  <w:style w:type="character" w:customStyle="1" w:styleId="st">
    <w:name w:val="st"/>
    <w:basedOn w:val="Absatz-Standardschriftart"/>
    <w:uiPriority w:val="99"/>
    <w:rsid w:val="00EE48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7105"/>
    <w:pPr>
      <w:spacing w:before="40" w:after="40" w:line="360" w:lineRule="auto"/>
    </w:pPr>
    <w:rPr>
      <w:rFonts w:ascii="Arial" w:hAnsi="Arial"/>
      <w:szCs w:val="20"/>
      <w:lang w:val="de-CH" w:eastAsia="de-CH"/>
    </w:rPr>
  </w:style>
  <w:style w:type="paragraph" w:styleId="berschrift1">
    <w:name w:val="heading 1"/>
    <w:basedOn w:val="Standard"/>
    <w:link w:val="berschrift1Zchn"/>
    <w:uiPriority w:val="99"/>
    <w:qFormat/>
    <w:rsid w:val="008C298A"/>
    <w:pPr>
      <w:spacing w:before="100" w:beforeAutospacing="1" w:after="100" w:afterAutospacing="1"/>
      <w:outlineLvl w:val="0"/>
    </w:pPr>
    <w:rPr>
      <w:rFonts w:ascii="Times New Roman" w:eastAsia="Times New Roman" w:hAnsi="Times New Roman"/>
      <w:b/>
      <w:bCs/>
      <w:kern w:val="36"/>
      <w:sz w:val="48"/>
      <w:szCs w:val="48"/>
    </w:rPr>
  </w:style>
  <w:style w:type="paragraph" w:styleId="berschrift2">
    <w:name w:val="heading 2"/>
    <w:basedOn w:val="Standard"/>
    <w:link w:val="berschrift2Zchn"/>
    <w:uiPriority w:val="99"/>
    <w:qFormat/>
    <w:rsid w:val="008C298A"/>
    <w:pPr>
      <w:spacing w:before="100" w:beforeAutospacing="1" w:after="100" w:afterAutospacing="1"/>
      <w:outlineLvl w:val="1"/>
    </w:pPr>
    <w:rPr>
      <w:rFonts w:ascii="Times New Roman" w:eastAsia="Times New Roman" w:hAnsi="Times New Roman"/>
      <w:b/>
      <w:bCs/>
      <w:sz w:val="36"/>
      <w:szCs w:val="36"/>
    </w:rPr>
  </w:style>
  <w:style w:type="paragraph" w:styleId="berschrift3">
    <w:name w:val="heading 3"/>
    <w:basedOn w:val="Standard"/>
    <w:link w:val="berschrift3Zchn"/>
    <w:uiPriority w:val="99"/>
    <w:qFormat/>
    <w:rsid w:val="008C298A"/>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C298A"/>
    <w:rPr>
      <w:rFonts w:ascii="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9"/>
    <w:locked/>
    <w:rsid w:val="008C298A"/>
    <w:rPr>
      <w:rFonts w:ascii="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9"/>
    <w:locked/>
    <w:rsid w:val="008C298A"/>
    <w:rPr>
      <w:rFonts w:ascii="Times New Roman" w:hAnsi="Times New Roman" w:cs="Times New Roman"/>
      <w:b/>
      <w:bCs/>
      <w:sz w:val="27"/>
      <w:szCs w:val="27"/>
      <w:lang w:eastAsia="de-CH"/>
    </w:rPr>
  </w:style>
  <w:style w:type="character" w:styleId="Hyperlink">
    <w:name w:val="Hyperlink"/>
    <w:basedOn w:val="Absatz-Standardschriftart"/>
    <w:uiPriority w:val="99"/>
    <w:rsid w:val="008C298A"/>
    <w:rPr>
      <w:rFonts w:cs="Times New Roman"/>
      <w:color w:val="0000FF"/>
      <w:u w:val="single"/>
    </w:rPr>
  </w:style>
  <w:style w:type="paragraph" w:styleId="StandardWeb">
    <w:name w:val="Normal (Web)"/>
    <w:basedOn w:val="Standard"/>
    <w:uiPriority w:val="99"/>
    <w:semiHidden/>
    <w:rsid w:val="008C298A"/>
    <w:pPr>
      <w:spacing w:before="100" w:beforeAutospacing="1" w:after="100" w:afterAutospacing="1"/>
    </w:pPr>
    <w:rPr>
      <w:rFonts w:ascii="Times New Roman" w:eastAsia="Times New Roman" w:hAnsi="Times New Roman"/>
      <w:sz w:val="24"/>
      <w:szCs w:val="24"/>
    </w:rPr>
  </w:style>
  <w:style w:type="character" w:styleId="Fett">
    <w:name w:val="Strong"/>
    <w:basedOn w:val="Absatz-Standardschriftart"/>
    <w:uiPriority w:val="99"/>
    <w:qFormat/>
    <w:rsid w:val="008C298A"/>
    <w:rPr>
      <w:rFonts w:cs="Times New Roman"/>
      <w:b/>
      <w:bCs/>
    </w:rPr>
  </w:style>
  <w:style w:type="character" w:customStyle="1" w:styleId="hidemail">
    <w:name w:val="hidemail"/>
    <w:basedOn w:val="Absatz-Standardschriftart"/>
    <w:uiPriority w:val="99"/>
    <w:rsid w:val="008C298A"/>
    <w:rPr>
      <w:rFonts w:cs="Times New Roman"/>
    </w:rPr>
  </w:style>
  <w:style w:type="paragraph" w:styleId="Sprechblasentext">
    <w:name w:val="Balloon Text"/>
    <w:basedOn w:val="Standard"/>
    <w:link w:val="SprechblasentextZchn"/>
    <w:uiPriority w:val="99"/>
    <w:semiHidden/>
    <w:rsid w:val="008C29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C298A"/>
    <w:rPr>
      <w:rFonts w:ascii="Tahoma" w:hAnsi="Tahoma" w:cs="Tahoma"/>
      <w:sz w:val="16"/>
      <w:szCs w:val="16"/>
      <w:lang w:eastAsia="de-CH"/>
    </w:rPr>
  </w:style>
  <w:style w:type="character" w:styleId="Kommentarzeichen">
    <w:name w:val="annotation reference"/>
    <w:basedOn w:val="Absatz-Standardschriftart"/>
    <w:uiPriority w:val="99"/>
    <w:semiHidden/>
    <w:rsid w:val="00E0655D"/>
    <w:rPr>
      <w:rFonts w:cs="Times New Roman"/>
      <w:sz w:val="16"/>
      <w:szCs w:val="16"/>
    </w:rPr>
  </w:style>
  <w:style w:type="paragraph" w:styleId="Kommentartext">
    <w:name w:val="annotation text"/>
    <w:basedOn w:val="Standard"/>
    <w:link w:val="KommentartextZchn"/>
    <w:uiPriority w:val="99"/>
    <w:semiHidden/>
    <w:rsid w:val="00E0655D"/>
  </w:style>
  <w:style w:type="character" w:customStyle="1" w:styleId="KommentartextZchn">
    <w:name w:val="Kommentartext Zchn"/>
    <w:basedOn w:val="Absatz-Standardschriftart"/>
    <w:link w:val="Kommentartext"/>
    <w:uiPriority w:val="99"/>
    <w:semiHidden/>
    <w:locked/>
    <w:rsid w:val="00E0655D"/>
    <w:rPr>
      <w:rFonts w:ascii="Times" w:hAnsi="Times" w:cs="Times New Roman"/>
      <w:sz w:val="20"/>
      <w:szCs w:val="20"/>
      <w:lang w:eastAsia="de-CH"/>
    </w:rPr>
  </w:style>
  <w:style w:type="paragraph" w:styleId="Kommentarthema">
    <w:name w:val="annotation subject"/>
    <w:basedOn w:val="Kommentartext"/>
    <w:next w:val="Kommentartext"/>
    <w:link w:val="KommentarthemaZchn"/>
    <w:uiPriority w:val="99"/>
    <w:semiHidden/>
    <w:rsid w:val="00E0655D"/>
    <w:rPr>
      <w:b/>
      <w:bCs/>
    </w:rPr>
  </w:style>
  <w:style w:type="character" w:customStyle="1" w:styleId="KommentarthemaZchn">
    <w:name w:val="Kommentarthema Zchn"/>
    <w:basedOn w:val="KommentartextZchn"/>
    <w:link w:val="Kommentarthema"/>
    <w:uiPriority w:val="99"/>
    <w:semiHidden/>
    <w:locked/>
    <w:rsid w:val="00E0655D"/>
    <w:rPr>
      <w:rFonts w:ascii="Times" w:hAnsi="Times" w:cs="Times New Roman"/>
      <w:b/>
      <w:bCs/>
      <w:sz w:val="20"/>
      <w:szCs w:val="20"/>
      <w:lang w:eastAsia="de-CH"/>
    </w:rPr>
  </w:style>
  <w:style w:type="character" w:customStyle="1" w:styleId="apple-converted-space">
    <w:name w:val="apple-converted-space"/>
    <w:basedOn w:val="Absatz-Standardschriftart"/>
    <w:uiPriority w:val="99"/>
    <w:rsid w:val="004F4C9B"/>
    <w:rPr>
      <w:rFonts w:cs="Times New Roman"/>
    </w:rPr>
  </w:style>
  <w:style w:type="character" w:styleId="BesuchterHyperlink">
    <w:name w:val="FollowedHyperlink"/>
    <w:basedOn w:val="Absatz-Standardschriftart"/>
    <w:uiPriority w:val="99"/>
    <w:semiHidden/>
    <w:rsid w:val="007756BF"/>
    <w:rPr>
      <w:rFonts w:cs="Times New Roman"/>
      <w:color w:val="800080"/>
      <w:u w:val="single"/>
    </w:rPr>
  </w:style>
  <w:style w:type="paragraph" w:styleId="Kopfzeile">
    <w:name w:val="header"/>
    <w:basedOn w:val="Standard"/>
    <w:link w:val="KopfzeileZchn"/>
    <w:uiPriority w:val="99"/>
    <w:rsid w:val="0076315B"/>
    <w:pPr>
      <w:tabs>
        <w:tab w:val="center" w:pos="4320"/>
        <w:tab w:val="right" w:pos="8640"/>
      </w:tabs>
    </w:pPr>
  </w:style>
  <w:style w:type="character" w:customStyle="1" w:styleId="KopfzeileZchn">
    <w:name w:val="Kopfzeile Zchn"/>
    <w:basedOn w:val="Absatz-Standardschriftart"/>
    <w:link w:val="Kopfzeile"/>
    <w:uiPriority w:val="99"/>
    <w:locked/>
    <w:rsid w:val="0076315B"/>
    <w:rPr>
      <w:rFonts w:ascii="Times" w:hAnsi="Times" w:cs="Times New Roman"/>
      <w:sz w:val="20"/>
      <w:szCs w:val="20"/>
      <w:lang w:eastAsia="de-CH"/>
    </w:rPr>
  </w:style>
  <w:style w:type="paragraph" w:styleId="Fuzeile">
    <w:name w:val="footer"/>
    <w:basedOn w:val="Standard"/>
    <w:link w:val="FuzeileZchn"/>
    <w:uiPriority w:val="99"/>
    <w:rsid w:val="0076315B"/>
    <w:pPr>
      <w:tabs>
        <w:tab w:val="center" w:pos="4320"/>
        <w:tab w:val="right" w:pos="8640"/>
      </w:tabs>
    </w:pPr>
  </w:style>
  <w:style w:type="character" w:customStyle="1" w:styleId="FuzeileZchn">
    <w:name w:val="Fußzeile Zchn"/>
    <w:basedOn w:val="Absatz-Standardschriftart"/>
    <w:link w:val="Fuzeile"/>
    <w:uiPriority w:val="99"/>
    <w:locked/>
    <w:rsid w:val="0076315B"/>
    <w:rPr>
      <w:rFonts w:ascii="Times" w:hAnsi="Times" w:cs="Times New Roman"/>
      <w:sz w:val="20"/>
      <w:szCs w:val="20"/>
      <w:lang w:eastAsia="de-CH"/>
    </w:rPr>
  </w:style>
  <w:style w:type="paragraph" w:styleId="Funotentext">
    <w:name w:val="footnote text"/>
    <w:basedOn w:val="Standard"/>
    <w:link w:val="FunotentextZchn"/>
    <w:uiPriority w:val="99"/>
    <w:rsid w:val="00B7034D"/>
    <w:rPr>
      <w:sz w:val="24"/>
      <w:szCs w:val="24"/>
    </w:rPr>
  </w:style>
  <w:style w:type="character" w:customStyle="1" w:styleId="FunotentextZchn">
    <w:name w:val="Fußnotentext Zchn"/>
    <w:basedOn w:val="Absatz-Standardschriftart"/>
    <w:link w:val="Funotentext"/>
    <w:uiPriority w:val="99"/>
    <w:locked/>
    <w:rsid w:val="00B7034D"/>
    <w:rPr>
      <w:rFonts w:ascii="Times" w:hAnsi="Times" w:cs="Times New Roman"/>
      <w:sz w:val="24"/>
      <w:szCs w:val="24"/>
      <w:lang w:eastAsia="de-CH"/>
    </w:rPr>
  </w:style>
  <w:style w:type="character" w:styleId="Funotenzeichen">
    <w:name w:val="footnote reference"/>
    <w:aliases w:val="footnote sign,Ref,de nota al pie,Nota a piè di pagina"/>
    <w:basedOn w:val="Absatz-Standardschriftart"/>
    <w:uiPriority w:val="99"/>
    <w:rsid w:val="00B7034D"/>
    <w:rPr>
      <w:rFonts w:cs="Times New Roman"/>
      <w:vertAlign w:val="superscript"/>
    </w:rPr>
  </w:style>
  <w:style w:type="paragraph" w:styleId="Endnotentext">
    <w:name w:val="endnote text"/>
    <w:basedOn w:val="Standard"/>
    <w:link w:val="EndnotentextZchn"/>
    <w:uiPriority w:val="99"/>
    <w:rsid w:val="00B7034D"/>
    <w:rPr>
      <w:sz w:val="24"/>
      <w:szCs w:val="24"/>
    </w:rPr>
  </w:style>
  <w:style w:type="character" w:customStyle="1" w:styleId="EndnotentextZchn">
    <w:name w:val="Endnotentext Zchn"/>
    <w:basedOn w:val="Absatz-Standardschriftart"/>
    <w:link w:val="Endnotentext"/>
    <w:uiPriority w:val="99"/>
    <w:locked/>
    <w:rsid w:val="00B7034D"/>
    <w:rPr>
      <w:rFonts w:ascii="Times" w:hAnsi="Times" w:cs="Times New Roman"/>
      <w:sz w:val="24"/>
      <w:szCs w:val="24"/>
      <w:lang w:eastAsia="de-CH"/>
    </w:rPr>
  </w:style>
  <w:style w:type="character" w:styleId="Endnotenzeichen">
    <w:name w:val="endnote reference"/>
    <w:basedOn w:val="Absatz-Standardschriftart"/>
    <w:uiPriority w:val="99"/>
    <w:rsid w:val="00B7034D"/>
    <w:rPr>
      <w:rFonts w:cs="Times New Roman"/>
      <w:vertAlign w:val="superscript"/>
    </w:rPr>
  </w:style>
  <w:style w:type="character" w:styleId="Seitenzahl">
    <w:name w:val="page number"/>
    <w:basedOn w:val="Absatz-Standardschriftart"/>
    <w:uiPriority w:val="99"/>
    <w:semiHidden/>
    <w:rsid w:val="00805562"/>
    <w:rPr>
      <w:rFonts w:cs="Times New Roman"/>
    </w:rPr>
  </w:style>
  <w:style w:type="paragraph" w:styleId="KeinLeerraum">
    <w:name w:val="No Spacing"/>
    <w:uiPriority w:val="99"/>
    <w:qFormat/>
    <w:rsid w:val="006C7105"/>
    <w:rPr>
      <w:rFonts w:ascii="Arial" w:hAnsi="Arial"/>
      <w:szCs w:val="20"/>
      <w:lang w:val="de-CH" w:eastAsia="de-CH"/>
    </w:rPr>
  </w:style>
  <w:style w:type="paragraph" w:styleId="Listenabsatz">
    <w:name w:val="List Paragraph"/>
    <w:basedOn w:val="Standard"/>
    <w:uiPriority w:val="99"/>
    <w:qFormat/>
    <w:rsid w:val="003152E2"/>
    <w:pPr>
      <w:ind w:left="720"/>
      <w:contextualSpacing/>
    </w:pPr>
  </w:style>
  <w:style w:type="character" w:styleId="SchwacheHervorhebung">
    <w:name w:val="Subtle Emphasis"/>
    <w:basedOn w:val="Absatz-Standardschriftart"/>
    <w:uiPriority w:val="99"/>
    <w:qFormat/>
    <w:rsid w:val="003152E2"/>
    <w:rPr>
      <w:rFonts w:cs="Times New Roman"/>
      <w:i/>
      <w:iCs/>
      <w:color w:val="808080"/>
    </w:rPr>
  </w:style>
  <w:style w:type="character" w:styleId="Hervorhebung">
    <w:name w:val="Emphasis"/>
    <w:basedOn w:val="Absatz-Standardschriftart"/>
    <w:uiPriority w:val="99"/>
    <w:qFormat/>
    <w:rsid w:val="003152E2"/>
    <w:rPr>
      <w:rFonts w:cs="Times New Roman"/>
      <w:i/>
      <w:iCs/>
    </w:rPr>
  </w:style>
  <w:style w:type="character" w:styleId="IntensiveHervorhebung">
    <w:name w:val="Intense Emphasis"/>
    <w:basedOn w:val="Absatz-Standardschriftart"/>
    <w:uiPriority w:val="99"/>
    <w:qFormat/>
    <w:rsid w:val="003152E2"/>
    <w:rPr>
      <w:rFonts w:cs="Times New Roman"/>
      <w:b/>
      <w:bCs/>
      <w:i/>
      <w:iCs/>
      <w:color w:val="4F81BD"/>
    </w:rPr>
  </w:style>
  <w:style w:type="character" w:customStyle="1" w:styleId="st">
    <w:name w:val="st"/>
    <w:basedOn w:val="Absatz-Standardschriftart"/>
    <w:uiPriority w:val="99"/>
    <w:rsid w:val="00EE48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32276">
      <w:marLeft w:val="0"/>
      <w:marRight w:val="0"/>
      <w:marTop w:val="0"/>
      <w:marBottom w:val="0"/>
      <w:divBdr>
        <w:top w:val="none" w:sz="0" w:space="0" w:color="auto"/>
        <w:left w:val="none" w:sz="0" w:space="0" w:color="auto"/>
        <w:bottom w:val="none" w:sz="0" w:space="0" w:color="auto"/>
        <w:right w:val="none" w:sz="0" w:space="0" w:color="auto"/>
      </w:divBdr>
    </w:div>
    <w:div w:id="2024432278">
      <w:marLeft w:val="0"/>
      <w:marRight w:val="0"/>
      <w:marTop w:val="0"/>
      <w:marBottom w:val="0"/>
      <w:divBdr>
        <w:top w:val="none" w:sz="0" w:space="0" w:color="auto"/>
        <w:left w:val="none" w:sz="0" w:space="0" w:color="auto"/>
        <w:bottom w:val="none" w:sz="0" w:space="0" w:color="auto"/>
        <w:right w:val="none" w:sz="0" w:space="0" w:color="auto"/>
      </w:divBdr>
    </w:div>
    <w:div w:id="2024432279">
      <w:marLeft w:val="0"/>
      <w:marRight w:val="0"/>
      <w:marTop w:val="0"/>
      <w:marBottom w:val="0"/>
      <w:divBdr>
        <w:top w:val="none" w:sz="0" w:space="0" w:color="auto"/>
        <w:left w:val="none" w:sz="0" w:space="0" w:color="auto"/>
        <w:bottom w:val="none" w:sz="0" w:space="0" w:color="auto"/>
        <w:right w:val="none" w:sz="0" w:space="0" w:color="auto"/>
      </w:divBdr>
    </w:div>
    <w:div w:id="2024432280">
      <w:marLeft w:val="0"/>
      <w:marRight w:val="0"/>
      <w:marTop w:val="0"/>
      <w:marBottom w:val="0"/>
      <w:divBdr>
        <w:top w:val="none" w:sz="0" w:space="0" w:color="auto"/>
        <w:left w:val="none" w:sz="0" w:space="0" w:color="auto"/>
        <w:bottom w:val="none" w:sz="0" w:space="0" w:color="auto"/>
        <w:right w:val="none" w:sz="0" w:space="0" w:color="auto"/>
      </w:divBdr>
    </w:div>
    <w:div w:id="2024432282">
      <w:marLeft w:val="0"/>
      <w:marRight w:val="0"/>
      <w:marTop w:val="0"/>
      <w:marBottom w:val="0"/>
      <w:divBdr>
        <w:top w:val="none" w:sz="0" w:space="0" w:color="auto"/>
        <w:left w:val="none" w:sz="0" w:space="0" w:color="auto"/>
        <w:bottom w:val="none" w:sz="0" w:space="0" w:color="auto"/>
        <w:right w:val="none" w:sz="0" w:space="0" w:color="auto"/>
      </w:divBdr>
    </w:div>
    <w:div w:id="2024432283">
      <w:marLeft w:val="0"/>
      <w:marRight w:val="0"/>
      <w:marTop w:val="0"/>
      <w:marBottom w:val="0"/>
      <w:divBdr>
        <w:top w:val="none" w:sz="0" w:space="0" w:color="auto"/>
        <w:left w:val="none" w:sz="0" w:space="0" w:color="auto"/>
        <w:bottom w:val="none" w:sz="0" w:space="0" w:color="auto"/>
        <w:right w:val="none" w:sz="0" w:space="0" w:color="auto"/>
      </w:divBdr>
    </w:div>
    <w:div w:id="2024432284">
      <w:marLeft w:val="0"/>
      <w:marRight w:val="0"/>
      <w:marTop w:val="0"/>
      <w:marBottom w:val="0"/>
      <w:divBdr>
        <w:top w:val="none" w:sz="0" w:space="0" w:color="auto"/>
        <w:left w:val="none" w:sz="0" w:space="0" w:color="auto"/>
        <w:bottom w:val="none" w:sz="0" w:space="0" w:color="auto"/>
        <w:right w:val="none" w:sz="0" w:space="0" w:color="auto"/>
      </w:divBdr>
    </w:div>
    <w:div w:id="2024432285">
      <w:marLeft w:val="0"/>
      <w:marRight w:val="0"/>
      <w:marTop w:val="0"/>
      <w:marBottom w:val="0"/>
      <w:divBdr>
        <w:top w:val="none" w:sz="0" w:space="0" w:color="auto"/>
        <w:left w:val="none" w:sz="0" w:space="0" w:color="auto"/>
        <w:bottom w:val="none" w:sz="0" w:space="0" w:color="auto"/>
        <w:right w:val="none" w:sz="0" w:space="0" w:color="auto"/>
      </w:divBdr>
    </w:div>
    <w:div w:id="2024432287">
      <w:marLeft w:val="0"/>
      <w:marRight w:val="0"/>
      <w:marTop w:val="0"/>
      <w:marBottom w:val="0"/>
      <w:divBdr>
        <w:top w:val="none" w:sz="0" w:space="0" w:color="auto"/>
        <w:left w:val="none" w:sz="0" w:space="0" w:color="auto"/>
        <w:bottom w:val="none" w:sz="0" w:space="0" w:color="auto"/>
        <w:right w:val="none" w:sz="0" w:space="0" w:color="auto"/>
      </w:divBdr>
    </w:div>
    <w:div w:id="2024432288">
      <w:marLeft w:val="0"/>
      <w:marRight w:val="0"/>
      <w:marTop w:val="0"/>
      <w:marBottom w:val="0"/>
      <w:divBdr>
        <w:top w:val="none" w:sz="0" w:space="0" w:color="auto"/>
        <w:left w:val="none" w:sz="0" w:space="0" w:color="auto"/>
        <w:bottom w:val="none" w:sz="0" w:space="0" w:color="auto"/>
        <w:right w:val="none" w:sz="0" w:space="0" w:color="auto"/>
      </w:divBdr>
    </w:div>
    <w:div w:id="2024432291">
      <w:marLeft w:val="0"/>
      <w:marRight w:val="0"/>
      <w:marTop w:val="0"/>
      <w:marBottom w:val="0"/>
      <w:divBdr>
        <w:top w:val="none" w:sz="0" w:space="0" w:color="auto"/>
        <w:left w:val="none" w:sz="0" w:space="0" w:color="auto"/>
        <w:bottom w:val="none" w:sz="0" w:space="0" w:color="auto"/>
        <w:right w:val="none" w:sz="0" w:space="0" w:color="auto"/>
      </w:divBdr>
      <w:divsChild>
        <w:div w:id="2024432277">
          <w:marLeft w:val="0"/>
          <w:marRight w:val="0"/>
          <w:marTop w:val="0"/>
          <w:marBottom w:val="0"/>
          <w:divBdr>
            <w:top w:val="none" w:sz="0" w:space="0" w:color="auto"/>
            <w:left w:val="none" w:sz="0" w:space="0" w:color="auto"/>
            <w:bottom w:val="none" w:sz="0" w:space="0" w:color="auto"/>
            <w:right w:val="none" w:sz="0" w:space="0" w:color="auto"/>
          </w:divBdr>
          <w:divsChild>
            <w:div w:id="2024432290">
              <w:marLeft w:val="0"/>
              <w:marRight w:val="0"/>
              <w:marTop w:val="0"/>
              <w:marBottom w:val="0"/>
              <w:divBdr>
                <w:top w:val="none" w:sz="0" w:space="0" w:color="auto"/>
                <w:left w:val="none" w:sz="0" w:space="0" w:color="auto"/>
                <w:bottom w:val="none" w:sz="0" w:space="0" w:color="auto"/>
                <w:right w:val="none" w:sz="0" w:space="0" w:color="auto"/>
              </w:divBdr>
              <w:divsChild>
                <w:div w:id="2024432286">
                  <w:marLeft w:val="0"/>
                  <w:marRight w:val="0"/>
                  <w:marTop w:val="0"/>
                  <w:marBottom w:val="0"/>
                  <w:divBdr>
                    <w:top w:val="none" w:sz="0" w:space="0" w:color="auto"/>
                    <w:left w:val="none" w:sz="0" w:space="0" w:color="auto"/>
                    <w:bottom w:val="none" w:sz="0" w:space="0" w:color="auto"/>
                    <w:right w:val="none" w:sz="0" w:space="0" w:color="auto"/>
                  </w:divBdr>
                  <w:divsChild>
                    <w:div w:id="2024432275">
                      <w:marLeft w:val="0"/>
                      <w:marRight w:val="0"/>
                      <w:marTop w:val="0"/>
                      <w:marBottom w:val="0"/>
                      <w:divBdr>
                        <w:top w:val="none" w:sz="0" w:space="0" w:color="auto"/>
                        <w:left w:val="none" w:sz="0" w:space="0" w:color="auto"/>
                        <w:bottom w:val="none" w:sz="0" w:space="0" w:color="auto"/>
                        <w:right w:val="none" w:sz="0" w:space="0" w:color="auto"/>
                      </w:divBdr>
                      <w:divsChild>
                        <w:div w:id="2024432274">
                          <w:marLeft w:val="0"/>
                          <w:marRight w:val="0"/>
                          <w:marTop w:val="0"/>
                          <w:marBottom w:val="0"/>
                          <w:divBdr>
                            <w:top w:val="none" w:sz="0" w:space="0" w:color="auto"/>
                            <w:left w:val="none" w:sz="0" w:space="0" w:color="auto"/>
                            <w:bottom w:val="none" w:sz="0" w:space="0" w:color="auto"/>
                            <w:right w:val="none" w:sz="0" w:space="0" w:color="auto"/>
                          </w:divBdr>
                          <w:divsChild>
                            <w:div w:id="2024432289">
                              <w:marLeft w:val="0"/>
                              <w:marRight w:val="0"/>
                              <w:marTop w:val="0"/>
                              <w:marBottom w:val="0"/>
                              <w:divBdr>
                                <w:top w:val="none" w:sz="0" w:space="0" w:color="auto"/>
                                <w:left w:val="none" w:sz="0" w:space="0" w:color="auto"/>
                                <w:bottom w:val="none" w:sz="0" w:space="0" w:color="auto"/>
                                <w:right w:val="none" w:sz="0" w:space="0" w:color="auto"/>
                              </w:divBdr>
                              <w:divsChild>
                                <w:div w:id="2024432292">
                                  <w:marLeft w:val="0"/>
                                  <w:marRight w:val="0"/>
                                  <w:marTop w:val="0"/>
                                  <w:marBottom w:val="0"/>
                                  <w:divBdr>
                                    <w:top w:val="none" w:sz="0" w:space="0" w:color="auto"/>
                                    <w:left w:val="none" w:sz="0" w:space="0" w:color="auto"/>
                                    <w:bottom w:val="none" w:sz="0" w:space="0" w:color="auto"/>
                                    <w:right w:val="none" w:sz="0" w:space="0" w:color="auto"/>
                                  </w:divBdr>
                                  <w:divsChild>
                                    <w:div w:id="2024432281">
                                      <w:marLeft w:val="0"/>
                                      <w:marRight w:val="0"/>
                                      <w:marTop w:val="0"/>
                                      <w:marBottom w:val="0"/>
                                      <w:divBdr>
                                        <w:top w:val="none" w:sz="0" w:space="0" w:color="auto"/>
                                        <w:left w:val="none" w:sz="0" w:space="0" w:color="auto"/>
                                        <w:bottom w:val="none" w:sz="0" w:space="0" w:color="auto"/>
                                        <w:right w:val="none" w:sz="0" w:space="0" w:color="auto"/>
                                      </w:divBdr>
                                      <w:divsChild>
                                        <w:div w:id="20244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bl.org/?id=17" TargetMode="External"/><Relationship Id="rId13" Type="http://schemas.openxmlformats.org/officeDocument/2006/relationships/hyperlink" Target="http://www.ifoam.org" TargetMode="External"/><Relationship Id="rId18" Type="http://schemas.openxmlformats.org/officeDocument/2006/relationships/image" Target="media/image6.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fibl.org/en/shop-en.html" TargetMode="External"/><Relationship Id="rId17" Type="http://schemas.openxmlformats.org/officeDocument/2006/relationships/footer" Target="footer1.xml"/><Relationship Id="rId25"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foam.org/"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11.emf"/><Relationship Id="rId10" Type="http://schemas.openxmlformats.org/officeDocument/2006/relationships/hyperlink" Target="mailto:m.arbenz@ifoam.org"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fibl.org/" TargetMode="External"/><Relationship Id="rId14" Type="http://schemas.openxmlformats.org/officeDocument/2006/relationships/hyperlink" Target="https://www.fibl.org/en/shop-en.html" TargetMode="External"/><Relationship Id="rId22" Type="http://schemas.openxmlformats.org/officeDocument/2006/relationships/image" Target="media/image10.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1050</Words>
  <Characters>6615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Growing Organic Agriculture Sector Explores its Future</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Organic Agriculture Sector Explores its Future</dc:title>
  <dc:creator>IFOAM, FiBL</dc:creator>
  <cp:lastModifiedBy>Willer Helga</cp:lastModifiedBy>
  <cp:revision>2</cp:revision>
  <cp:lastPrinted>2014-02-07T08:41:00Z</cp:lastPrinted>
  <dcterms:created xsi:type="dcterms:W3CDTF">2014-05-29T07:43:00Z</dcterms:created>
  <dcterms:modified xsi:type="dcterms:W3CDTF">2014-05-29T07:43:00Z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959116309</vt:i4>
  </property>
</Properties>
</file>