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1797" w14:textId="3CD71BA3" w:rsidR="004762FE" w:rsidRPr="001255E8" w:rsidRDefault="00E34E1A" w:rsidP="00453BD9">
      <w:pPr>
        <w:pStyle w:val="FiBLmrsubheader"/>
        <w:rPr>
          <w:lang w:val="de-DE"/>
        </w:rPr>
        <w:sectPr w:rsidR="004762FE" w:rsidRPr="001255E8" w:rsidSect="00232993">
          <w:headerReference w:type="default" r:id="rId11"/>
          <w:footerReference w:type="default" r:id="rId12"/>
          <w:type w:val="continuous"/>
          <w:pgSz w:w="11906" w:h="16838"/>
          <w:pgMar w:top="2268" w:right="1701" w:bottom="1701" w:left="1701" w:header="1134" w:footer="567" w:gutter="0"/>
          <w:cols w:space="708"/>
          <w:docGrid w:linePitch="360"/>
        </w:sectPr>
      </w:pPr>
      <w:bookmarkStart w:id="0" w:name="_Hlk161843550"/>
      <w:bookmarkEnd w:id="0"/>
      <w:r w:rsidRPr="001255E8">
        <w:rPr>
          <w:lang w:val="de-DE"/>
        </w:rPr>
        <w:t>Med</w:t>
      </w:r>
      <w:r w:rsidR="001255E8">
        <w:rPr>
          <w:lang w:val="de-DE"/>
        </w:rPr>
        <w:t>ienmitteilung</w:t>
      </w:r>
    </w:p>
    <w:p w14:paraId="3BC81286" w14:textId="136A3083" w:rsidR="00635BA5" w:rsidRPr="001255E8" w:rsidRDefault="00983AAB" w:rsidP="00460501">
      <w:pPr>
        <w:pStyle w:val="FiBLmrtitle"/>
        <w:rPr>
          <w:lang w:val="de-DE"/>
        </w:rPr>
      </w:pPr>
      <w:r w:rsidRPr="001255E8">
        <w:rPr>
          <w:lang w:val="de-DE"/>
        </w:rPr>
        <w:t>Bi</w:t>
      </w:r>
      <w:r w:rsidR="00635BA5" w:rsidRPr="001255E8">
        <w:rPr>
          <w:lang w:val="de-DE"/>
        </w:rPr>
        <w:t xml:space="preserve">ologischer Landbau in den Tropen: </w:t>
      </w:r>
      <w:r w:rsidR="006F21FC" w:rsidRPr="001255E8">
        <w:rPr>
          <w:lang w:val="de-DE"/>
        </w:rPr>
        <w:t>E</w:t>
      </w:r>
      <w:r w:rsidR="00635BA5" w:rsidRPr="001255E8">
        <w:rPr>
          <w:lang w:val="de-DE"/>
        </w:rPr>
        <w:t>in Beitrag z</w:t>
      </w:r>
      <w:r w:rsidR="0096646C" w:rsidRPr="001255E8">
        <w:rPr>
          <w:lang w:val="de-DE"/>
        </w:rPr>
        <w:t xml:space="preserve">ur Sicherung </w:t>
      </w:r>
      <w:r w:rsidR="00635BA5" w:rsidRPr="001255E8">
        <w:rPr>
          <w:lang w:val="de-DE"/>
        </w:rPr>
        <w:t>lokale</w:t>
      </w:r>
      <w:r w:rsidR="006F21FC" w:rsidRPr="001255E8">
        <w:rPr>
          <w:lang w:val="de-DE"/>
        </w:rPr>
        <w:t>r</w:t>
      </w:r>
      <w:r w:rsidR="00635BA5" w:rsidRPr="001255E8">
        <w:rPr>
          <w:lang w:val="de-DE"/>
        </w:rPr>
        <w:t xml:space="preserve"> </w:t>
      </w:r>
      <w:r w:rsidR="0096646C" w:rsidRPr="001255E8">
        <w:rPr>
          <w:lang w:val="de-DE"/>
        </w:rPr>
        <w:t xml:space="preserve">Existenzgrundlagen </w:t>
      </w:r>
    </w:p>
    <w:p w14:paraId="7039442A" w14:textId="11AFEA7F" w:rsidR="006F21FC" w:rsidRPr="001255E8" w:rsidRDefault="006F21FC">
      <w:pPr>
        <w:pStyle w:val="FiBLmrlead"/>
        <w:rPr>
          <w:lang w:val="de-DE"/>
        </w:rPr>
      </w:pPr>
      <w:r w:rsidRPr="001255E8">
        <w:rPr>
          <w:lang w:val="de-DE"/>
        </w:rPr>
        <w:t>Eine kürzlich erschienene Publikation des Forschungsinstituts für biologischen Landbau FiBL zeigt, dass biologische Produktionssysteme in den Tropen ebenso rentabel sind wie konventionelle Systeme</w:t>
      </w:r>
      <w:r w:rsidR="003C09F5">
        <w:rPr>
          <w:lang w:val="de-DE"/>
        </w:rPr>
        <w:t>.</w:t>
      </w:r>
      <w:r w:rsidRPr="001255E8">
        <w:rPr>
          <w:lang w:val="de-DE"/>
        </w:rPr>
        <w:t xml:space="preserve"> </w:t>
      </w:r>
      <w:r w:rsidR="00FD7481">
        <w:rPr>
          <w:lang w:val="de-DE"/>
        </w:rPr>
        <w:t>Fruchtfolgen</w:t>
      </w:r>
      <w:r w:rsidRPr="001255E8">
        <w:rPr>
          <w:lang w:val="de-DE"/>
        </w:rPr>
        <w:t xml:space="preserve"> </w:t>
      </w:r>
      <w:r w:rsidR="00F52B79" w:rsidRPr="001255E8">
        <w:rPr>
          <w:lang w:val="de-DE"/>
        </w:rPr>
        <w:t xml:space="preserve">spielen </w:t>
      </w:r>
      <w:r w:rsidRPr="001255E8">
        <w:rPr>
          <w:lang w:val="de-DE"/>
        </w:rPr>
        <w:t>eine entscheidende Rolle</w:t>
      </w:r>
      <w:r w:rsidR="00F735DA">
        <w:rPr>
          <w:lang w:val="de-DE"/>
        </w:rPr>
        <w:t xml:space="preserve">, </w:t>
      </w:r>
      <w:r w:rsidR="00F52B79">
        <w:rPr>
          <w:lang w:val="de-DE"/>
        </w:rPr>
        <w:t>um die</w:t>
      </w:r>
      <w:r w:rsidRPr="001255E8">
        <w:rPr>
          <w:lang w:val="de-DE"/>
        </w:rPr>
        <w:t xml:space="preserve"> Rentabilität der Betriebe</w:t>
      </w:r>
      <w:r w:rsidR="00F52B79">
        <w:rPr>
          <w:lang w:val="de-DE"/>
        </w:rPr>
        <w:t xml:space="preserve"> zu steigern</w:t>
      </w:r>
      <w:r w:rsidRPr="001255E8">
        <w:rPr>
          <w:lang w:val="de-DE"/>
        </w:rPr>
        <w:t>. Die Publikation basiert auf Daten eines zwölfjährigen Langzeitversuchs in Bolivien, Indien und Kenia und bietet neue Einblicke in die biologische Landwirtschaft in den Tropen.</w:t>
      </w:r>
    </w:p>
    <w:p w14:paraId="3B231C4E" w14:textId="77777777" w:rsidR="00460501" w:rsidRPr="001255E8" w:rsidRDefault="00460501" w:rsidP="00460501">
      <w:pPr>
        <w:pStyle w:val="FiBLmrstandard"/>
        <w:rPr>
          <w:lang w:val="de-DE"/>
        </w:rPr>
      </w:pPr>
      <w:r w:rsidRPr="001255E8">
        <w:rPr>
          <w:noProof/>
          <w:lang w:val="de-CH" w:eastAsia="de-CH"/>
        </w:rPr>
        <w:drawing>
          <wp:inline distT="0" distB="0" distL="0" distR="0" wp14:anchorId="36A684B6" wp14:editId="2D3E05F2">
            <wp:extent cx="5400040" cy="3244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BL_Forster Bionys_India__SysCom_harvest_raufgerechnet.png"/>
                    <pic:cNvPicPr/>
                  </pic:nvPicPr>
                  <pic:blipFill>
                    <a:blip r:embed="rId13" cstate="screen">
                      <a:extLst>
                        <a:ext uri="{28A0092B-C50C-407E-A947-70E740481C1C}">
                          <a14:useLocalDpi xmlns:a14="http://schemas.microsoft.com/office/drawing/2010/main"/>
                        </a:ext>
                      </a:extLst>
                    </a:blip>
                    <a:stretch>
                      <a:fillRect/>
                    </a:stretch>
                  </pic:blipFill>
                  <pic:spPr>
                    <a:xfrm>
                      <a:off x="0" y="0"/>
                      <a:ext cx="5400040" cy="3244215"/>
                    </a:xfrm>
                    <a:prstGeom prst="rect">
                      <a:avLst/>
                    </a:prstGeom>
                  </pic:spPr>
                </pic:pic>
              </a:graphicData>
            </a:graphic>
          </wp:inline>
        </w:drawing>
      </w:r>
    </w:p>
    <w:p w14:paraId="32B952B4" w14:textId="0DE69719" w:rsidR="00635BA5" w:rsidRPr="001255E8" w:rsidRDefault="006F21FC" w:rsidP="002A4390">
      <w:pPr>
        <w:pStyle w:val="FiBLmrfooter"/>
        <w:rPr>
          <w:lang w:val="de-DE"/>
        </w:rPr>
      </w:pPr>
      <w:r w:rsidRPr="001255E8">
        <w:rPr>
          <w:lang w:val="de-DE"/>
        </w:rPr>
        <w:t>Mischkulturen und Fruchtfolgen tragen zur Wirtschaftlichkeit der Landwirtschaft in den Tropen bei. Bild: Ernte von Weizen, einer Fruchtfolgekultur im Baumwollanbau in Indien.</w:t>
      </w:r>
      <w:r w:rsidR="00807FA6" w:rsidRPr="001255E8">
        <w:rPr>
          <w:lang w:val="de-DE"/>
        </w:rPr>
        <w:t xml:space="preserve"> </w:t>
      </w:r>
      <w:r w:rsidR="00A20642">
        <w:rPr>
          <w:lang w:val="de-DE"/>
        </w:rPr>
        <w:t>(</w:t>
      </w:r>
      <w:r w:rsidR="001255E8" w:rsidRPr="001255E8">
        <w:rPr>
          <w:lang w:val="de-DE"/>
        </w:rPr>
        <w:t>Foto</w:t>
      </w:r>
      <w:r w:rsidR="00635BA5" w:rsidRPr="001255E8">
        <w:rPr>
          <w:lang w:val="de-DE"/>
        </w:rPr>
        <w:t xml:space="preserve">: </w:t>
      </w:r>
      <w:r w:rsidR="007B2957" w:rsidRPr="001255E8">
        <w:rPr>
          <w:lang w:val="de-DE"/>
        </w:rPr>
        <w:t xml:space="preserve">FiBL, </w:t>
      </w:r>
      <w:r w:rsidR="00C5774C" w:rsidRPr="00C5774C">
        <w:rPr>
          <w:lang w:val="de-DE"/>
        </w:rPr>
        <w:t>Dionys Forster</w:t>
      </w:r>
      <w:r w:rsidR="00A20642">
        <w:rPr>
          <w:lang w:val="de-DE"/>
        </w:rPr>
        <w:t>)</w:t>
      </w:r>
    </w:p>
    <w:p w14:paraId="0AA67FDD" w14:textId="77777777" w:rsidR="00635BA5" w:rsidRPr="001255E8" w:rsidRDefault="00635BA5" w:rsidP="00460501">
      <w:pPr>
        <w:pStyle w:val="FiBLmrstandard"/>
        <w:rPr>
          <w:lang w:val="de-DE"/>
        </w:rPr>
      </w:pPr>
    </w:p>
    <w:p w14:paraId="230A60F5" w14:textId="195B948D" w:rsidR="006F21FC" w:rsidRPr="001255E8" w:rsidRDefault="00635BA5" w:rsidP="00460501">
      <w:pPr>
        <w:pStyle w:val="FiBLmrstandard"/>
        <w:rPr>
          <w:lang w:val="de-DE"/>
        </w:rPr>
      </w:pPr>
      <w:r w:rsidRPr="001255E8">
        <w:rPr>
          <w:lang w:val="de-DE"/>
        </w:rPr>
        <w:t xml:space="preserve">(Frick, </w:t>
      </w:r>
      <w:r w:rsidR="00EA18CF">
        <w:rPr>
          <w:lang w:val="de-DE"/>
        </w:rPr>
        <w:t xml:space="preserve">25. </w:t>
      </w:r>
      <w:r w:rsidRPr="001255E8">
        <w:rPr>
          <w:lang w:val="de-DE"/>
        </w:rPr>
        <w:t xml:space="preserve">April 2024) </w:t>
      </w:r>
      <w:r w:rsidR="006F21FC" w:rsidRPr="001255E8">
        <w:rPr>
          <w:lang w:val="de-DE"/>
        </w:rPr>
        <w:t xml:space="preserve">Eine kürzlich erschienene Publikation wirft ein neues Licht auf den </w:t>
      </w:r>
      <w:r w:rsidR="002E071D">
        <w:rPr>
          <w:lang w:val="de-DE"/>
        </w:rPr>
        <w:t>bio</w:t>
      </w:r>
      <w:r w:rsidR="006F21FC" w:rsidRPr="001255E8">
        <w:rPr>
          <w:lang w:val="de-DE"/>
        </w:rPr>
        <w:t xml:space="preserve">logischen Landbau in den Tropen. Während biologische Produktionssysteme oft als nicht konkurrenzfähig in Bezug auf das verfügbare Einkommen, </w:t>
      </w:r>
      <w:r w:rsidR="001255E8">
        <w:rPr>
          <w:lang w:val="de-DE"/>
        </w:rPr>
        <w:t xml:space="preserve">als </w:t>
      </w:r>
      <w:r w:rsidR="006F21FC" w:rsidRPr="001255E8">
        <w:rPr>
          <w:lang w:val="de-DE"/>
        </w:rPr>
        <w:t xml:space="preserve">exportorientiert und zu wenig auf lokale Bedürfnisse ausgerichtet dargestellt werden, zeigen neue Daten eine andere Perspektive. </w:t>
      </w:r>
    </w:p>
    <w:p w14:paraId="4019C5CA" w14:textId="1C3067AD" w:rsidR="006F21FC" w:rsidRPr="001255E8" w:rsidRDefault="006F21FC">
      <w:pPr>
        <w:pStyle w:val="FiBLmrstandard"/>
        <w:rPr>
          <w:lang w:val="de-DE"/>
        </w:rPr>
      </w:pPr>
      <w:r w:rsidRPr="001255E8">
        <w:rPr>
          <w:lang w:val="de-DE"/>
        </w:rPr>
        <w:t xml:space="preserve">Die neue Studie basiert auf Daten aus </w:t>
      </w:r>
      <w:r w:rsidR="0031585B" w:rsidRPr="001255E8">
        <w:rPr>
          <w:lang w:val="de-DE"/>
        </w:rPr>
        <w:t>eine</w:t>
      </w:r>
      <w:r w:rsidR="00F735DA">
        <w:rPr>
          <w:lang w:val="de-DE"/>
        </w:rPr>
        <w:t>m</w:t>
      </w:r>
      <w:r w:rsidR="0031585B" w:rsidRPr="001255E8">
        <w:rPr>
          <w:lang w:val="de-DE"/>
        </w:rPr>
        <w:t xml:space="preserve"> Zeitraum von 12 Jahren</w:t>
      </w:r>
      <w:r w:rsidR="0031585B">
        <w:rPr>
          <w:lang w:val="de-DE"/>
        </w:rPr>
        <w:t>.</w:t>
      </w:r>
      <w:r w:rsidR="0031585B" w:rsidRPr="001255E8">
        <w:rPr>
          <w:lang w:val="de-DE"/>
        </w:rPr>
        <w:t xml:space="preserve"> </w:t>
      </w:r>
      <w:r w:rsidR="0031585B">
        <w:rPr>
          <w:lang w:val="de-DE"/>
        </w:rPr>
        <w:t xml:space="preserve">Gesammelt wurden die Daten in </w:t>
      </w:r>
      <w:r w:rsidRPr="001255E8">
        <w:rPr>
          <w:lang w:val="de-DE"/>
        </w:rPr>
        <w:t xml:space="preserve">vier Langzeit-Experimenten </w:t>
      </w:r>
      <w:r w:rsidR="0031585B" w:rsidRPr="001255E8">
        <w:rPr>
          <w:lang w:val="de-DE"/>
        </w:rPr>
        <w:t>auf drei Kontinenten</w:t>
      </w:r>
      <w:r w:rsidRPr="001255E8">
        <w:rPr>
          <w:lang w:val="de-DE"/>
        </w:rPr>
        <w:t xml:space="preserve">, in denen konventionelle und </w:t>
      </w:r>
      <w:r w:rsidR="002E071D">
        <w:rPr>
          <w:lang w:val="de-DE"/>
        </w:rPr>
        <w:t>bio</w:t>
      </w:r>
      <w:r w:rsidRPr="001255E8">
        <w:rPr>
          <w:lang w:val="de-DE"/>
        </w:rPr>
        <w:t>logische Anbausysteme verglichen w</w:t>
      </w:r>
      <w:r w:rsidR="0031585B">
        <w:rPr>
          <w:lang w:val="de-DE"/>
        </w:rPr>
        <w:t>e</w:t>
      </w:r>
      <w:r w:rsidRPr="001255E8">
        <w:rPr>
          <w:lang w:val="de-DE"/>
        </w:rPr>
        <w:t xml:space="preserve">rden. Die Studie zeigt, </w:t>
      </w:r>
      <w:r w:rsidRPr="001255E8">
        <w:rPr>
          <w:lang w:val="de-DE"/>
        </w:rPr>
        <w:lastRenderedPageBreak/>
        <w:t xml:space="preserve">dass der </w:t>
      </w:r>
      <w:r w:rsidR="00F224CC" w:rsidRPr="001255E8">
        <w:rPr>
          <w:lang w:val="de-DE"/>
        </w:rPr>
        <w:t>bi</w:t>
      </w:r>
      <w:r w:rsidRPr="001255E8">
        <w:rPr>
          <w:lang w:val="de-DE"/>
        </w:rPr>
        <w:t>ologische Landbau den Landwirt</w:t>
      </w:r>
      <w:r w:rsidR="00C24578">
        <w:rPr>
          <w:lang w:val="de-DE"/>
        </w:rPr>
        <w:t>*inn</w:t>
      </w:r>
      <w:r w:rsidRPr="001255E8">
        <w:rPr>
          <w:lang w:val="de-DE"/>
        </w:rPr>
        <w:t xml:space="preserve">en ein ebenso hohes verfügbares Einkommen bieten kann wie der konventionelle Landbau. </w:t>
      </w:r>
    </w:p>
    <w:p w14:paraId="37C5A249" w14:textId="607EDDAC" w:rsidR="006F21FC" w:rsidRPr="001255E8" w:rsidRDefault="006F21FC">
      <w:pPr>
        <w:pStyle w:val="FiBLmrstandard"/>
        <w:rPr>
          <w:lang w:val="de-DE"/>
        </w:rPr>
      </w:pPr>
      <w:r w:rsidRPr="001255E8">
        <w:rPr>
          <w:lang w:val="de-DE"/>
        </w:rPr>
        <w:t>Wichtig ist dabei,</w:t>
      </w:r>
      <w:r w:rsidR="00807FA6" w:rsidRPr="001255E8">
        <w:rPr>
          <w:lang w:val="de-DE"/>
        </w:rPr>
        <w:t xml:space="preserve"> dass </w:t>
      </w:r>
      <w:proofErr w:type="gramStart"/>
      <w:r w:rsidR="00807FA6" w:rsidRPr="001255E8">
        <w:rPr>
          <w:lang w:val="de-DE"/>
        </w:rPr>
        <w:t xml:space="preserve">die </w:t>
      </w:r>
      <w:r w:rsidR="001C448C">
        <w:rPr>
          <w:lang w:val="de-DE"/>
        </w:rPr>
        <w:t>Landwirt</w:t>
      </w:r>
      <w:proofErr w:type="gramEnd"/>
      <w:r w:rsidR="001C448C">
        <w:rPr>
          <w:lang w:val="de-DE"/>
        </w:rPr>
        <w:t>*innen</w:t>
      </w:r>
      <w:r w:rsidR="00807FA6" w:rsidRPr="001255E8">
        <w:rPr>
          <w:lang w:val="de-DE"/>
        </w:rPr>
        <w:t xml:space="preserve"> im Wechsel mit </w:t>
      </w:r>
      <w:r w:rsidRPr="001255E8">
        <w:rPr>
          <w:lang w:val="de-DE"/>
        </w:rPr>
        <w:t>Cash Crops</w:t>
      </w:r>
      <w:r w:rsidR="009D6DFF">
        <w:rPr>
          <w:lang w:val="de-DE"/>
        </w:rPr>
        <w:t xml:space="preserve">, also </w:t>
      </w:r>
      <w:r w:rsidR="008302BB">
        <w:rPr>
          <w:lang w:val="de-DE"/>
        </w:rPr>
        <w:t>Kulturen für den Export</w:t>
      </w:r>
      <w:r w:rsidR="00F224CC" w:rsidRPr="001255E8">
        <w:rPr>
          <w:lang w:val="de-DE"/>
        </w:rPr>
        <w:t xml:space="preserve"> wie </w:t>
      </w:r>
      <w:r w:rsidRPr="001255E8">
        <w:rPr>
          <w:lang w:val="de-DE"/>
        </w:rPr>
        <w:t>Kakao in Bolivien, Bau</w:t>
      </w:r>
      <w:r w:rsidR="00807FA6" w:rsidRPr="001255E8">
        <w:rPr>
          <w:lang w:val="de-DE"/>
        </w:rPr>
        <w:t xml:space="preserve">mwolle in Indien </w:t>
      </w:r>
      <w:r w:rsidR="009D6DFF">
        <w:rPr>
          <w:lang w:val="de-DE"/>
        </w:rPr>
        <w:t>oder</w:t>
      </w:r>
      <w:r w:rsidR="00C24578">
        <w:rPr>
          <w:lang w:val="de-DE"/>
        </w:rPr>
        <w:t xml:space="preserve"> </w:t>
      </w:r>
      <w:r w:rsidR="00807FA6" w:rsidRPr="001255E8">
        <w:rPr>
          <w:lang w:val="de-DE"/>
        </w:rPr>
        <w:t>Mais in Kenia</w:t>
      </w:r>
      <w:r w:rsidR="009D6DFF">
        <w:rPr>
          <w:lang w:val="de-DE"/>
        </w:rPr>
        <w:t>,</w:t>
      </w:r>
      <w:r w:rsidRPr="001255E8">
        <w:rPr>
          <w:lang w:val="de-DE"/>
        </w:rPr>
        <w:t xml:space="preserve"> zusätzliche Kulturen für die lokale Versorgung anbauen. Bisher blieben diese nicht für den Export bestimmten Kulturen weitgehend unbeachtet. </w:t>
      </w:r>
    </w:p>
    <w:p w14:paraId="7033B02E" w14:textId="0211C3A0" w:rsidR="006F21FC" w:rsidRPr="001255E8" w:rsidRDefault="006F21FC" w:rsidP="006F21FC">
      <w:pPr>
        <w:pStyle w:val="FiBLmrstandard"/>
        <w:rPr>
          <w:lang w:val="de-DE"/>
        </w:rPr>
      </w:pPr>
      <w:r w:rsidRPr="001255E8">
        <w:rPr>
          <w:lang w:val="de-DE"/>
        </w:rPr>
        <w:t xml:space="preserve">Darüber hinaus betont die Studie, dass die Diversifizierung des Anbaus nicht nur zu stabileren Einkommen, sondern auch zu einem vielfältigeren Nahrungsmittelangebot für die </w:t>
      </w:r>
      <w:r w:rsidR="001C448C">
        <w:rPr>
          <w:lang w:val="de-DE"/>
        </w:rPr>
        <w:t>Landwirt*innen</w:t>
      </w:r>
      <w:r w:rsidRPr="001255E8">
        <w:rPr>
          <w:lang w:val="de-DE"/>
        </w:rPr>
        <w:t xml:space="preserve"> beiträgt. </w:t>
      </w:r>
      <w:r w:rsidR="002E071D">
        <w:rPr>
          <w:lang w:val="de-DE"/>
        </w:rPr>
        <w:t>Zudem erbr</w:t>
      </w:r>
      <w:r w:rsidR="008302BB">
        <w:rPr>
          <w:lang w:val="de-DE"/>
        </w:rPr>
        <w:t>i</w:t>
      </w:r>
      <w:r w:rsidR="002E071D">
        <w:rPr>
          <w:lang w:val="de-DE"/>
        </w:rPr>
        <w:t>ngen</w:t>
      </w:r>
      <w:r w:rsidR="002E071D" w:rsidRPr="001255E8">
        <w:rPr>
          <w:lang w:val="de-DE"/>
        </w:rPr>
        <w:t xml:space="preserve"> diese zusätzlichen Kulturen auch wichtige </w:t>
      </w:r>
      <w:r w:rsidR="002E071D">
        <w:rPr>
          <w:lang w:val="de-DE"/>
        </w:rPr>
        <w:t>Bio</w:t>
      </w:r>
      <w:r w:rsidR="002E071D" w:rsidRPr="001255E8">
        <w:rPr>
          <w:lang w:val="de-DE"/>
        </w:rPr>
        <w:t>systemleistungen.</w:t>
      </w:r>
    </w:p>
    <w:p w14:paraId="5D63A199" w14:textId="567E1183" w:rsidR="006F21FC" w:rsidRPr="001255E8" w:rsidRDefault="006F21FC">
      <w:pPr>
        <w:pStyle w:val="FiBLmrstandard"/>
        <w:rPr>
          <w:lang w:val="de-DE"/>
        </w:rPr>
      </w:pPr>
      <w:r w:rsidRPr="001255E8">
        <w:rPr>
          <w:lang w:val="de-DE"/>
        </w:rPr>
        <w:t>"Der Anbauschwerpunkt in den Tropen sollte sich von der einseitigen Fokussierung auf die wichtigsten Nutzpflanzen hin zu einem breiteren Verständnis entwickeln</w:t>
      </w:r>
      <w:r w:rsidR="009D6DFF">
        <w:rPr>
          <w:lang w:val="de-DE"/>
        </w:rPr>
        <w:t>.</w:t>
      </w:r>
      <w:r w:rsidRPr="001255E8">
        <w:rPr>
          <w:lang w:val="de-DE"/>
        </w:rPr>
        <w:t xml:space="preserve"> </w:t>
      </w:r>
      <w:r w:rsidR="009D6DFF">
        <w:rPr>
          <w:lang w:val="de-DE"/>
        </w:rPr>
        <w:t>D</w:t>
      </w:r>
      <w:r w:rsidRPr="001255E8">
        <w:rPr>
          <w:lang w:val="de-DE"/>
        </w:rPr>
        <w:t xml:space="preserve">as gesamte Spektrum der Nutzpflanzen in einem Anbausystem </w:t>
      </w:r>
      <w:r w:rsidR="009D6DFF">
        <w:rPr>
          <w:lang w:val="de-DE"/>
        </w:rPr>
        <w:t xml:space="preserve">sollte </w:t>
      </w:r>
      <w:r w:rsidRPr="001255E8">
        <w:rPr>
          <w:lang w:val="de-DE"/>
        </w:rPr>
        <w:t xml:space="preserve">über einen längeren Zeitraum </w:t>
      </w:r>
      <w:r w:rsidR="009D6DFF">
        <w:rPr>
          <w:lang w:val="de-DE"/>
        </w:rPr>
        <w:t>berücksichtigt werden</w:t>
      </w:r>
      <w:r w:rsidRPr="001255E8">
        <w:rPr>
          <w:lang w:val="de-DE"/>
        </w:rPr>
        <w:t>", empfiehlt Amritbir Riar, Erstautor der Studie und leitender Wissenschaftler am Forschungsinstitut für biologischen Landbau FiBL.</w:t>
      </w:r>
    </w:p>
    <w:p w14:paraId="0233A039" w14:textId="5C7FA9EC" w:rsidR="00635BA5" w:rsidRPr="001255E8" w:rsidRDefault="00635BA5" w:rsidP="002A4390">
      <w:pPr>
        <w:pStyle w:val="FiBLmrsubheader"/>
        <w:rPr>
          <w:lang w:val="de-DE"/>
        </w:rPr>
      </w:pPr>
      <w:r w:rsidRPr="001255E8">
        <w:rPr>
          <w:lang w:val="de-DE"/>
        </w:rPr>
        <w:t xml:space="preserve">Die SysCom-Versuche </w:t>
      </w:r>
      <w:r w:rsidR="002E071D" w:rsidRPr="002E071D">
        <w:rPr>
          <w:lang w:val="de-DE"/>
        </w:rPr>
        <w:t>–</w:t>
      </w:r>
      <w:r w:rsidRPr="001255E8">
        <w:rPr>
          <w:lang w:val="de-DE"/>
        </w:rPr>
        <w:t xml:space="preserve"> weltweit einmalig </w:t>
      </w:r>
    </w:p>
    <w:p w14:paraId="134A0BD2" w14:textId="08833062" w:rsidR="00F224CC" w:rsidRPr="001255E8" w:rsidRDefault="00F224CC" w:rsidP="002A4390">
      <w:pPr>
        <w:pStyle w:val="FiBLmrstandard"/>
        <w:rPr>
          <w:lang w:val="de-DE"/>
        </w:rPr>
      </w:pPr>
      <w:r w:rsidRPr="001255E8">
        <w:rPr>
          <w:lang w:val="de-DE"/>
        </w:rPr>
        <w:t xml:space="preserve">Die in dieser Arbeit vorgestellten Daten wurden in den vier Versuchen des SysCom-Projekts (Farming Systems </w:t>
      </w:r>
      <w:proofErr w:type="spellStart"/>
      <w:r w:rsidRPr="001255E8">
        <w:rPr>
          <w:lang w:val="de-DE"/>
        </w:rPr>
        <w:t>Comparison</w:t>
      </w:r>
      <w:proofErr w:type="spellEnd"/>
      <w:r w:rsidRPr="001255E8">
        <w:rPr>
          <w:lang w:val="de-DE"/>
        </w:rPr>
        <w:t xml:space="preserve"> in </w:t>
      </w:r>
      <w:proofErr w:type="spellStart"/>
      <w:r w:rsidRPr="001255E8">
        <w:rPr>
          <w:lang w:val="de-DE"/>
        </w:rPr>
        <w:t>the</w:t>
      </w:r>
      <w:proofErr w:type="spellEnd"/>
      <w:r w:rsidRPr="001255E8">
        <w:rPr>
          <w:lang w:val="de-DE"/>
        </w:rPr>
        <w:t xml:space="preserve"> </w:t>
      </w:r>
      <w:proofErr w:type="spellStart"/>
      <w:r w:rsidRPr="001255E8">
        <w:rPr>
          <w:lang w:val="de-DE"/>
        </w:rPr>
        <w:t>Tropics</w:t>
      </w:r>
      <w:proofErr w:type="spellEnd"/>
      <w:r w:rsidRPr="001255E8">
        <w:rPr>
          <w:lang w:val="de-DE"/>
        </w:rPr>
        <w:t>) erhoben. Diese Langzeitversuche laufen seit 17 Jahren und befinden sich in tropischen Gebieten auf drei Kontinenten: Afrika, Asien und Südamerika. Die Anbausysteme in allen Versuchen bestehen aus einer Hauptkultur (Kakao, Baumwolle und Mais) sowie Nebenkulturen</w:t>
      </w:r>
      <w:r w:rsidR="009D6DFF">
        <w:rPr>
          <w:lang w:val="de-DE"/>
        </w:rPr>
        <w:t>.</w:t>
      </w:r>
      <w:r w:rsidR="00F735DA">
        <w:rPr>
          <w:lang w:val="de-DE"/>
        </w:rPr>
        <w:t xml:space="preserve"> </w:t>
      </w:r>
      <w:r w:rsidR="009D6DFF">
        <w:rPr>
          <w:lang w:val="de-DE"/>
        </w:rPr>
        <w:t>Es werden</w:t>
      </w:r>
      <w:r w:rsidRPr="001255E8">
        <w:rPr>
          <w:lang w:val="de-DE"/>
        </w:rPr>
        <w:t xml:space="preserve"> standortspezifische konventionelle und </w:t>
      </w:r>
      <w:r w:rsidR="002E071D">
        <w:rPr>
          <w:lang w:val="de-DE"/>
        </w:rPr>
        <w:t>bio</w:t>
      </w:r>
      <w:r w:rsidRPr="001255E8">
        <w:rPr>
          <w:lang w:val="de-DE"/>
        </w:rPr>
        <w:t xml:space="preserve">logische Bewirtschaftungssysteme </w:t>
      </w:r>
      <w:r w:rsidR="009D6DFF">
        <w:rPr>
          <w:lang w:val="de-DE"/>
        </w:rPr>
        <w:t>angewendet</w:t>
      </w:r>
      <w:r w:rsidRPr="001255E8">
        <w:rPr>
          <w:lang w:val="de-DE"/>
        </w:rPr>
        <w:t xml:space="preserve">. </w:t>
      </w:r>
      <w:r w:rsidR="00F735DA" w:rsidRPr="001255E8">
        <w:rPr>
          <w:lang w:val="de-DE"/>
        </w:rPr>
        <w:t xml:space="preserve">Um den </w:t>
      </w:r>
      <w:r w:rsidR="00F735DA">
        <w:rPr>
          <w:lang w:val="de-DE"/>
        </w:rPr>
        <w:t>b</w:t>
      </w:r>
      <w:r w:rsidR="00F735DA" w:rsidRPr="001255E8">
        <w:rPr>
          <w:lang w:val="de-DE"/>
        </w:rPr>
        <w:t xml:space="preserve">iologischen Landbau </w:t>
      </w:r>
      <w:r w:rsidR="00F735DA">
        <w:rPr>
          <w:lang w:val="de-DE"/>
        </w:rPr>
        <w:t>mit dem</w:t>
      </w:r>
      <w:r w:rsidR="00F735DA" w:rsidRPr="001255E8">
        <w:rPr>
          <w:lang w:val="de-DE"/>
        </w:rPr>
        <w:t xml:space="preserve"> konventionellen Landbau </w:t>
      </w:r>
      <w:r w:rsidR="00F735DA">
        <w:rPr>
          <w:lang w:val="de-DE"/>
        </w:rPr>
        <w:t>zu vergleichen</w:t>
      </w:r>
      <w:r w:rsidR="00F735DA" w:rsidRPr="001255E8">
        <w:rPr>
          <w:lang w:val="de-DE"/>
        </w:rPr>
        <w:t xml:space="preserve">, sind Langzeitversuche nützlich, </w:t>
      </w:r>
      <w:r w:rsidR="00F735DA">
        <w:rPr>
          <w:lang w:val="de-DE"/>
        </w:rPr>
        <w:t>da</w:t>
      </w:r>
      <w:r w:rsidR="00F735DA" w:rsidRPr="001255E8">
        <w:rPr>
          <w:lang w:val="de-DE"/>
        </w:rPr>
        <w:t xml:space="preserve"> die Leistung eines ganzen Systems im Laufe der Zeit </w:t>
      </w:r>
      <w:r w:rsidR="00F735DA">
        <w:rPr>
          <w:lang w:val="de-DE"/>
        </w:rPr>
        <w:t>bewertet werden k</w:t>
      </w:r>
      <w:bookmarkStart w:id="1" w:name="_GoBack"/>
      <w:bookmarkEnd w:id="1"/>
      <w:r w:rsidR="00F735DA">
        <w:rPr>
          <w:lang w:val="de-DE"/>
        </w:rPr>
        <w:t>ann</w:t>
      </w:r>
      <w:r w:rsidR="00F735DA" w:rsidRPr="001255E8">
        <w:rPr>
          <w:lang w:val="de-DE"/>
        </w:rPr>
        <w:t xml:space="preserve">. </w:t>
      </w:r>
    </w:p>
    <w:p w14:paraId="43C83D23" w14:textId="5AA79488" w:rsidR="00F224CC" w:rsidRPr="001255E8" w:rsidRDefault="00F224CC" w:rsidP="00F224CC">
      <w:pPr>
        <w:pStyle w:val="FiBLmrstandard"/>
        <w:rPr>
          <w:lang w:val="de-DE"/>
        </w:rPr>
      </w:pPr>
      <w:r w:rsidRPr="001255E8">
        <w:rPr>
          <w:lang w:val="de-DE"/>
        </w:rPr>
        <w:t xml:space="preserve">Die SysCom-Langzeitversuche liefern neue und wertvolle Erkenntnisse über die Leistungsfähigkeit und das Potenzial des </w:t>
      </w:r>
      <w:r w:rsidR="002E071D">
        <w:rPr>
          <w:lang w:val="de-DE"/>
        </w:rPr>
        <w:t>bi</w:t>
      </w:r>
      <w:r w:rsidRPr="001255E8">
        <w:rPr>
          <w:lang w:val="de-DE"/>
        </w:rPr>
        <w:t xml:space="preserve">ologischen Landbaus in den Tropen, die für alle Beteiligten </w:t>
      </w:r>
      <w:r w:rsidR="002E071D" w:rsidRPr="002E071D">
        <w:rPr>
          <w:lang w:val="de-DE"/>
        </w:rPr>
        <w:t>–</w:t>
      </w:r>
      <w:r w:rsidRPr="001255E8">
        <w:rPr>
          <w:lang w:val="de-DE"/>
        </w:rPr>
        <w:t xml:space="preserve"> von den Landwirt</w:t>
      </w:r>
      <w:r w:rsidR="0082274F">
        <w:rPr>
          <w:lang w:val="de-DE"/>
        </w:rPr>
        <w:t>*inn</w:t>
      </w:r>
      <w:r w:rsidRPr="001255E8">
        <w:rPr>
          <w:lang w:val="de-DE"/>
        </w:rPr>
        <w:t>en bis zu den politischen Entscheidungsträger</w:t>
      </w:r>
      <w:r w:rsidR="00090F0E">
        <w:rPr>
          <w:lang w:val="de-DE"/>
        </w:rPr>
        <w:t>*inne</w:t>
      </w:r>
      <w:r w:rsidRPr="001255E8">
        <w:rPr>
          <w:lang w:val="de-DE"/>
        </w:rPr>
        <w:t xml:space="preserve">n </w:t>
      </w:r>
      <w:r w:rsidR="002E071D" w:rsidRPr="002E071D">
        <w:rPr>
          <w:lang w:val="de-DE"/>
        </w:rPr>
        <w:t>–</w:t>
      </w:r>
      <w:r w:rsidRPr="001255E8">
        <w:rPr>
          <w:lang w:val="de-DE"/>
        </w:rPr>
        <w:t xml:space="preserve"> von Bedeutung sind. </w:t>
      </w:r>
    </w:p>
    <w:p w14:paraId="3E96EC12" w14:textId="4583FD37" w:rsidR="00131306" w:rsidRDefault="00F224CC">
      <w:pPr>
        <w:pStyle w:val="FiBLmrstandard"/>
        <w:rPr>
          <w:lang w:val="de-DE"/>
        </w:rPr>
      </w:pPr>
      <w:r w:rsidRPr="001255E8">
        <w:rPr>
          <w:lang w:val="de-DE"/>
        </w:rPr>
        <w:t xml:space="preserve">Weitere Informationen zu den Versuchen finden Sie auf der SysCom-Website </w:t>
      </w:r>
      <w:hyperlink r:id="rId14" w:history="1">
        <w:r w:rsidR="00FC7A01" w:rsidRPr="004D5D9A">
          <w:rPr>
            <w:rStyle w:val="Hyperlink"/>
            <w:lang w:val="de-DE"/>
          </w:rPr>
          <w:t>https://systems-comparison.fibl.org</w:t>
        </w:r>
      </w:hyperlink>
      <w:r w:rsidRPr="001255E8">
        <w:rPr>
          <w:lang w:val="de-DE"/>
        </w:rPr>
        <w:t>.</w:t>
      </w:r>
    </w:p>
    <w:p w14:paraId="7395F2F4" w14:textId="77777777" w:rsidR="00131306" w:rsidRDefault="00131306">
      <w:pPr>
        <w:rPr>
          <w:rFonts w:ascii="Palatino Linotype" w:hAnsi="Palatino Linotype"/>
          <w:lang w:val="de-DE"/>
        </w:rPr>
      </w:pPr>
      <w:r>
        <w:rPr>
          <w:lang w:val="de-DE"/>
        </w:rPr>
        <w:br w:type="page"/>
      </w:r>
    </w:p>
    <w:p w14:paraId="61E183F4" w14:textId="46B6A77B" w:rsidR="00460501" w:rsidRPr="001255E8" w:rsidRDefault="00460501">
      <w:pPr>
        <w:pStyle w:val="FiBLmraddinfo"/>
        <w:rPr>
          <w:lang w:val="de-DE"/>
        </w:rPr>
      </w:pPr>
      <w:r w:rsidRPr="001255E8">
        <w:rPr>
          <w:lang w:val="de-DE"/>
        </w:rPr>
        <w:lastRenderedPageBreak/>
        <w:t xml:space="preserve">FiBL </w:t>
      </w:r>
      <w:r w:rsidR="002C5680" w:rsidRPr="001255E8">
        <w:rPr>
          <w:lang w:val="de-DE"/>
        </w:rPr>
        <w:t>Kontakte</w:t>
      </w:r>
    </w:p>
    <w:p w14:paraId="239020E0" w14:textId="1825B065" w:rsidR="00460501" w:rsidRDefault="00460501" w:rsidP="00460501">
      <w:pPr>
        <w:pStyle w:val="FiBLmrbulletpoint"/>
        <w:rPr>
          <w:rFonts w:cstheme="minorHAnsi"/>
          <w:lang w:val="de-DE"/>
        </w:rPr>
      </w:pPr>
      <w:r w:rsidRPr="001255E8">
        <w:rPr>
          <w:rFonts w:cstheme="minorHAnsi"/>
          <w:lang w:val="de-DE"/>
        </w:rPr>
        <w:t xml:space="preserve">Amritbir Riar, </w:t>
      </w:r>
      <w:r w:rsidR="002C5680" w:rsidRPr="001255E8">
        <w:rPr>
          <w:rFonts w:cstheme="minorHAnsi"/>
          <w:lang w:val="de-DE"/>
        </w:rPr>
        <w:t>Leitung</w:t>
      </w:r>
      <w:r w:rsidR="00F224CC" w:rsidRPr="001255E8">
        <w:rPr>
          <w:rFonts w:cstheme="minorHAnsi"/>
          <w:lang w:val="de-DE"/>
        </w:rPr>
        <w:t xml:space="preserve"> Gruppe Resiliente Anbausysteme, </w:t>
      </w:r>
      <w:r w:rsidRPr="001255E8">
        <w:rPr>
          <w:rFonts w:cstheme="minorHAnsi"/>
          <w:lang w:val="de-DE"/>
        </w:rPr>
        <w:t>Department International</w:t>
      </w:r>
      <w:r w:rsidR="002C5680" w:rsidRPr="001255E8">
        <w:rPr>
          <w:rFonts w:cstheme="minorHAnsi"/>
          <w:lang w:val="de-DE"/>
        </w:rPr>
        <w:t>e Zusammenarbeit</w:t>
      </w:r>
      <w:r w:rsidRPr="001255E8">
        <w:rPr>
          <w:rFonts w:cstheme="minorHAnsi"/>
          <w:lang w:val="de-DE"/>
        </w:rPr>
        <w:t>, FiBL S</w:t>
      </w:r>
      <w:r w:rsidR="002C5680" w:rsidRPr="001255E8">
        <w:rPr>
          <w:rFonts w:cstheme="minorHAnsi"/>
          <w:lang w:val="de-DE"/>
        </w:rPr>
        <w:t>chweiz</w:t>
      </w:r>
      <w:r w:rsidRPr="001255E8">
        <w:rPr>
          <w:rFonts w:cstheme="minorHAnsi"/>
          <w:lang w:val="de-DE"/>
        </w:rPr>
        <w:br/>
      </w:r>
      <w:r w:rsidR="002C5680" w:rsidRPr="001255E8">
        <w:rPr>
          <w:rFonts w:cstheme="minorHAnsi"/>
          <w:lang w:val="de-DE"/>
        </w:rPr>
        <w:t>Tel.</w:t>
      </w:r>
      <w:r w:rsidRPr="001255E8">
        <w:rPr>
          <w:rFonts w:cstheme="minorHAnsi"/>
          <w:lang w:val="de-DE"/>
        </w:rPr>
        <w:t xml:space="preserve"> +41 62 865 72 88, </w:t>
      </w:r>
      <w:r w:rsidR="002C5680" w:rsidRPr="001255E8">
        <w:rPr>
          <w:rFonts w:cstheme="minorHAnsi"/>
          <w:lang w:val="de-DE"/>
        </w:rPr>
        <w:t>E-M</w:t>
      </w:r>
      <w:r w:rsidRPr="001255E8">
        <w:rPr>
          <w:rFonts w:cstheme="minorHAnsi"/>
          <w:lang w:val="de-DE"/>
        </w:rPr>
        <w:t xml:space="preserve">ail </w:t>
      </w:r>
      <w:hyperlink r:id="rId15" w:history="1">
        <w:r w:rsidR="00B77FA8" w:rsidRPr="004D5D9A">
          <w:rPr>
            <w:rStyle w:val="Hyperlink"/>
            <w:rFonts w:cstheme="minorHAnsi"/>
            <w:lang w:val="de-DE"/>
          </w:rPr>
          <w:t>amritbir.riar@fibl.org</w:t>
        </w:r>
      </w:hyperlink>
    </w:p>
    <w:p w14:paraId="6B4A072A" w14:textId="68E8A5BD" w:rsidR="00460501" w:rsidRPr="001255E8" w:rsidRDefault="00460501" w:rsidP="00460501">
      <w:pPr>
        <w:pStyle w:val="FiBLmrbulletpoint"/>
        <w:rPr>
          <w:rFonts w:cstheme="minorHAnsi"/>
          <w:lang w:val="de-DE"/>
        </w:rPr>
      </w:pPr>
      <w:r w:rsidRPr="001255E8">
        <w:rPr>
          <w:rFonts w:cstheme="minorHAnsi"/>
          <w:lang w:val="de-DE"/>
        </w:rPr>
        <w:t xml:space="preserve">Elsa Kanner, </w:t>
      </w:r>
      <w:r w:rsidR="00F224CC" w:rsidRPr="001255E8">
        <w:rPr>
          <w:rFonts w:cstheme="minorHAnsi"/>
          <w:lang w:val="de-DE"/>
        </w:rPr>
        <w:t xml:space="preserve">Gruppe Projektkommunikation, </w:t>
      </w:r>
      <w:r w:rsidRPr="001255E8">
        <w:rPr>
          <w:rFonts w:cstheme="minorHAnsi"/>
          <w:lang w:val="de-DE"/>
        </w:rPr>
        <w:t xml:space="preserve">Department </w:t>
      </w:r>
      <w:r w:rsidR="002C5680" w:rsidRPr="001255E8">
        <w:rPr>
          <w:rFonts w:cstheme="minorHAnsi"/>
          <w:lang w:val="de-DE"/>
        </w:rPr>
        <w:t>Beratung, Bildung und Kommunikati</w:t>
      </w:r>
      <w:r w:rsidR="001255E8" w:rsidRPr="001255E8">
        <w:rPr>
          <w:rFonts w:cstheme="minorHAnsi"/>
          <w:lang w:val="de-DE"/>
        </w:rPr>
        <w:t>o</w:t>
      </w:r>
      <w:r w:rsidR="002C5680" w:rsidRPr="001255E8">
        <w:rPr>
          <w:rFonts w:cstheme="minorHAnsi"/>
          <w:lang w:val="de-DE"/>
        </w:rPr>
        <w:t>n,</w:t>
      </w:r>
      <w:r w:rsidRPr="001255E8">
        <w:rPr>
          <w:rFonts w:cstheme="minorHAnsi"/>
          <w:lang w:val="de-DE"/>
        </w:rPr>
        <w:t xml:space="preserve"> FiBL </w:t>
      </w:r>
      <w:r w:rsidR="002C5680" w:rsidRPr="001255E8">
        <w:rPr>
          <w:rFonts w:cstheme="minorHAnsi"/>
          <w:lang w:val="de-DE"/>
        </w:rPr>
        <w:t>Schweiz</w:t>
      </w:r>
      <w:r w:rsidRPr="001255E8">
        <w:rPr>
          <w:rFonts w:cstheme="minorHAnsi"/>
          <w:lang w:val="de-DE"/>
        </w:rPr>
        <w:br/>
      </w:r>
      <w:r w:rsidR="002C5680" w:rsidRPr="001255E8">
        <w:rPr>
          <w:rFonts w:cstheme="minorHAnsi"/>
          <w:lang w:val="de-DE"/>
        </w:rPr>
        <w:t xml:space="preserve">Tel. </w:t>
      </w:r>
      <w:r w:rsidRPr="001255E8">
        <w:rPr>
          <w:rFonts w:cstheme="minorHAnsi"/>
          <w:lang w:val="de-DE"/>
        </w:rPr>
        <w:t xml:space="preserve">+41 62 865 04 99, </w:t>
      </w:r>
      <w:r w:rsidR="002C5680" w:rsidRPr="001255E8">
        <w:rPr>
          <w:rFonts w:cstheme="minorHAnsi"/>
          <w:lang w:val="de-DE"/>
        </w:rPr>
        <w:t>E</w:t>
      </w:r>
      <w:r w:rsidRPr="001255E8">
        <w:rPr>
          <w:rFonts w:cstheme="minorHAnsi"/>
          <w:lang w:val="de-DE"/>
        </w:rPr>
        <w:t>-</w:t>
      </w:r>
      <w:r w:rsidR="002C5680" w:rsidRPr="001255E8">
        <w:rPr>
          <w:rFonts w:cstheme="minorHAnsi"/>
          <w:lang w:val="de-DE"/>
        </w:rPr>
        <w:t>M</w:t>
      </w:r>
      <w:r w:rsidRPr="001255E8">
        <w:rPr>
          <w:rFonts w:cstheme="minorHAnsi"/>
          <w:lang w:val="de-DE"/>
        </w:rPr>
        <w:t xml:space="preserve">ail </w:t>
      </w:r>
      <w:hyperlink r:id="rId16" w:history="1">
        <w:r w:rsidR="00FC7A01" w:rsidRPr="004D5D9A">
          <w:rPr>
            <w:rStyle w:val="Hyperlink"/>
            <w:rFonts w:cstheme="minorHAnsi"/>
            <w:lang w:val="de-DE"/>
          </w:rPr>
          <w:t>elsa.kanner@fibl.org</w:t>
        </w:r>
      </w:hyperlink>
    </w:p>
    <w:p w14:paraId="1201D5A4" w14:textId="21B1B551" w:rsidR="00460501" w:rsidRPr="001255E8" w:rsidRDefault="002C5680" w:rsidP="00460501">
      <w:pPr>
        <w:pStyle w:val="FiBLmraddinfo"/>
        <w:rPr>
          <w:lang w:val="de-DE"/>
        </w:rPr>
      </w:pPr>
      <w:r w:rsidRPr="001255E8">
        <w:rPr>
          <w:lang w:val="de-DE"/>
        </w:rPr>
        <w:t>Unterstütz</w:t>
      </w:r>
      <w:r w:rsidR="004778B9" w:rsidRPr="001255E8">
        <w:rPr>
          <w:lang w:val="de-DE"/>
        </w:rPr>
        <w:t>ung</w:t>
      </w:r>
    </w:p>
    <w:p w14:paraId="6B6D9FF6" w14:textId="3985979A" w:rsidR="00460501" w:rsidRPr="001255E8" w:rsidRDefault="00460501" w:rsidP="002A4390">
      <w:pPr>
        <w:pStyle w:val="FiBLmrbulletpoint"/>
        <w:rPr>
          <w:lang w:val="de-DE"/>
        </w:rPr>
      </w:pPr>
      <w:r w:rsidRPr="001255E8">
        <w:rPr>
          <w:lang w:val="de-DE"/>
        </w:rPr>
        <w:t xml:space="preserve">Coop </w:t>
      </w:r>
      <w:r w:rsidR="002C5680" w:rsidRPr="001255E8">
        <w:rPr>
          <w:lang w:val="de-DE"/>
        </w:rPr>
        <w:t>Fonds für Nachhaltigkeit</w:t>
      </w:r>
    </w:p>
    <w:p w14:paraId="679E80B9" w14:textId="5515CB1B" w:rsidR="00460501" w:rsidRPr="001255E8" w:rsidRDefault="00460501" w:rsidP="002A4390">
      <w:pPr>
        <w:pStyle w:val="FiBLmrbulletpoint"/>
        <w:rPr>
          <w:lang w:val="de-DE"/>
        </w:rPr>
      </w:pPr>
      <w:r w:rsidRPr="001255E8">
        <w:rPr>
          <w:lang w:val="de-DE"/>
        </w:rPr>
        <w:t>Liechtenstein</w:t>
      </w:r>
      <w:r w:rsidR="00F224CC" w:rsidRPr="001255E8">
        <w:rPr>
          <w:lang w:val="de-DE"/>
        </w:rPr>
        <w:t>ischer Entwicklungsdienst</w:t>
      </w:r>
      <w:r w:rsidRPr="001255E8">
        <w:rPr>
          <w:lang w:val="de-DE"/>
        </w:rPr>
        <w:t xml:space="preserve"> </w:t>
      </w:r>
      <w:r w:rsidR="00F224CC" w:rsidRPr="001255E8">
        <w:rPr>
          <w:lang w:val="de-DE"/>
        </w:rPr>
        <w:t>(LED)</w:t>
      </w:r>
    </w:p>
    <w:p w14:paraId="46BD29D3" w14:textId="77777777" w:rsidR="00460501" w:rsidRPr="001255E8" w:rsidRDefault="00460501" w:rsidP="002A4390">
      <w:pPr>
        <w:pStyle w:val="FiBLmrbulletpoint"/>
        <w:rPr>
          <w:lang w:val="de-DE"/>
        </w:rPr>
      </w:pPr>
      <w:r w:rsidRPr="001255E8">
        <w:rPr>
          <w:lang w:val="de-DE"/>
        </w:rPr>
        <w:t>Biovision</w:t>
      </w:r>
    </w:p>
    <w:p w14:paraId="69480570" w14:textId="12FB0ABC" w:rsidR="00F224CC" w:rsidRPr="001255E8" w:rsidRDefault="00F224CC" w:rsidP="002A4390">
      <w:pPr>
        <w:pStyle w:val="FiBLmrbulletpoint"/>
        <w:rPr>
          <w:lang w:val="de-DE"/>
        </w:rPr>
      </w:pPr>
      <w:r w:rsidRPr="001255E8">
        <w:rPr>
          <w:lang w:val="de-DE"/>
        </w:rPr>
        <w:t xml:space="preserve">Direktion für Entwicklung und Zusammenarbeit </w:t>
      </w:r>
      <w:r w:rsidR="002E071D">
        <w:rPr>
          <w:lang w:val="de-DE"/>
        </w:rPr>
        <w:t>(</w:t>
      </w:r>
      <w:r w:rsidRPr="001255E8">
        <w:rPr>
          <w:lang w:val="de-DE"/>
        </w:rPr>
        <w:t>DEZA)</w:t>
      </w:r>
    </w:p>
    <w:p w14:paraId="5CEA1C0E" w14:textId="0B0589EF" w:rsidR="00460501" w:rsidRPr="001255E8" w:rsidRDefault="00F224CC" w:rsidP="002A4390">
      <w:pPr>
        <w:pStyle w:val="FiBLmraddinfo"/>
        <w:rPr>
          <w:lang w:val="de-DE"/>
        </w:rPr>
      </w:pPr>
      <w:r w:rsidRPr="001255E8">
        <w:rPr>
          <w:lang w:val="de-DE"/>
        </w:rPr>
        <w:t>L</w:t>
      </w:r>
      <w:r w:rsidR="00460501" w:rsidRPr="001255E8">
        <w:rPr>
          <w:lang w:val="de-DE"/>
        </w:rPr>
        <w:t>ink</w:t>
      </w:r>
    </w:p>
    <w:p w14:paraId="1C43387A" w14:textId="0620427B" w:rsidR="00460501" w:rsidRPr="00FC7A01" w:rsidRDefault="00090F0E" w:rsidP="00FC7A01">
      <w:pPr>
        <w:pStyle w:val="FiBLmrstandard"/>
        <w:rPr>
          <w:lang w:val="de-DE"/>
        </w:rPr>
      </w:pPr>
      <w:hyperlink r:id="rId17" w:history="1">
        <w:r w:rsidR="00FC7A01" w:rsidRPr="00FC7A01">
          <w:rPr>
            <w:rStyle w:val="Hyperlink"/>
            <w:lang w:val="de-DE"/>
          </w:rPr>
          <w:t>https://systems-comparison.fibl.org</w:t>
        </w:r>
      </w:hyperlink>
    </w:p>
    <w:p w14:paraId="59DA6FAB" w14:textId="7E002E3B" w:rsidR="00460501" w:rsidRPr="00E74C78" w:rsidRDefault="00807FA6" w:rsidP="00807FA6">
      <w:pPr>
        <w:pStyle w:val="FiBLmraddinfo"/>
      </w:pPr>
      <w:proofErr w:type="spellStart"/>
      <w:r w:rsidRPr="00E74C78">
        <w:t>Zitat</w:t>
      </w:r>
      <w:proofErr w:type="spellEnd"/>
    </w:p>
    <w:p w14:paraId="2BFADAAC" w14:textId="77777777" w:rsidR="00460501" w:rsidRPr="00F735DA" w:rsidRDefault="00460501" w:rsidP="00FC7A01">
      <w:pPr>
        <w:pStyle w:val="FiBLmrreferences"/>
      </w:pPr>
      <w:r w:rsidRPr="00F735DA">
        <w:rPr>
          <w:rStyle w:val="authorname"/>
        </w:rPr>
        <w:t>Riar</w:t>
      </w:r>
      <w:r w:rsidRPr="00F735DA">
        <w:rPr>
          <w:rStyle w:val="separator"/>
        </w:rPr>
        <w:t xml:space="preserve">, A., </w:t>
      </w:r>
      <w:r w:rsidRPr="00F735DA">
        <w:rPr>
          <w:rStyle w:val="authorname"/>
        </w:rPr>
        <w:t>Goldmann</w:t>
      </w:r>
      <w:r w:rsidRPr="00F735DA">
        <w:rPr>
          <w:rStyle w:val="separator"/>
        </w:rPr>
        <w:t xml:space="preserve">, E., </w:t>
      </w:r>
      <w:r w:rsidRPr="00F735DA">
        <w:rPr>
          <w:rStyle w:val="authorname"/>
        </w:rPr>
        <w:t>Bautze</w:t>
      </w:r>
      <w:r w:rsidRPr="00F735DA">
        <w:rPr>
          <w:rStyle w:val="separator"/>
        </w:rPr>
        <w:t xml:space="preserve">, D., </w:t>
      </w:r>
      <w:r w:rsidRPr="00F735DA">
        <w:rPr>
          <w:rStyle w:val="authorname"/>
        </w:rPr>
        <w:t>Rüegg</w:t>
      </w:r>
      <w:r w:rsidRPr="00F735DA">
        <w:rPr>
          <w:rStyle w:val="separator"/>
        </w:rPr>
        <w:t>, J., B</w:t>
      </w:r>
      <w:r w:rsidRPr="00F735DA">
        <w:rPr>
          <w:rStyle w:val="authorname"/>
        </w:rPr>
        <w:t>hullar</w:t>
      </w:r>
      <w:r w:rsidRPr="00F735DA">
        <w:rPr>
          <w:rStyle w:val="separator"/>
        </w:rPr>
        <w:t>, G.S., A</w:t>
      </w:r>
      <w:r w:rsidRPr="00F735DA">
        <w:rPr>
          <w:rStyle w:val="authorname"/>
        </w:rPr>
        <w:t>damtey</w:t>
      </w:r>
      <w:r w:rsidRPr="00F735DA">
        <w:rPr>
          <w:rStyle w:val="separator"/>
        </w:rPr>
        <w:t>, N., </w:t>
      </w:r>
      <w:r w:rsidRPr="00F735DA">
        <w:rPr>
          <w:rStyle w:val="authorname"/>
        </w:rPr>
        <w:t>Schneider</w:t>
      </w:r>
      <w:r w:rsidRPr="00F735DA">
        <w:rPr>
          <w:rStyle w:val="separator"/>
        </w:rPr>
        <w:t>, M., </w:t>
      </w:r>
      <w:r w:rsidRPr="00F735DA">
        <w:rPr>
          <w:rStyle w:val="authorname"/>
        </w:rPr>
        <w:t>Huber, B.</w:t>
      </w:r>
      <w:r w:rsidRPr="00F735DA">
        <w:rPr>
          <w:rStyle w:val="separator"/>
        </w:rPr>
        <w:t xml:space="preserve">, </w:t>
      </w:r>
      <w:r w:rsidRPr="00F735DA">
        <w:rPr>
          <w:rStyle w:val="authorname"/>
        </w:rPr>
        <w:t>Armengot, L.</w:t>
      </w:r>
      <w:r w:rsidRPr="00F735DA">
        <w:t> </w:t>
      </w:r>
      <w:r w:rsidRPr="00F735DA">
        <w:rPr>
          <w:rStyle w:val="Date1"/>
        </w:rPr>
        <w:t>(2024)</w:t>
      </w:r>
      <w:r w:rsidRPr="00F735DA">
        <w:t> </w:t>
      </w:r>
      <w:r w:rsidRPr="00F735DA">
        <w:rPr>
          <w:rStyle w:val="arttitle"/>
        </w:rPr>
        <w:t>Farm gate profitability of organic and conventional farming systems in the tropics,</w:t>
      </w:r>
      <w:r w:rsidRPr="00F735DA">
        <w:t> </w:t>
      </w:r>
      <w:r w:rsidRPr="00F735DA">
        <w:rPr>
          <w:rStyle w:val="serialtitle"/>
        </w:rPr>
        <w:t>International Journal of Agricultural Sustainability,</w:t>
      </w:r>
      <w:r w:rsidRPr="00F735DA">
        <w:t> </w:t>
      </w:r>
      <w:r w:rsidRPr="00F735DA">
        <w:rPr>
          <w:rStyle w:val="volumeissue"/>
        </w:rPr>
        <w:t>22:1,</w:t>
      </w:r>
      <w:r w:rsidRPr="00F735DA">
        <w:t> </w:t>
      </w:r>
      <w:r w:rsidRPr="00F735DA">
        <w:rPr>
          <w:rStyle w:val="doilink"/>
        </w:rPr>
        <w:t>DOI: </w:t>
      </w:r>
      <w:hyperlink r:id="rId18" w:history="1">
        <w:r w:rsidRPr="00F735DA">
          <w:rPr>
            <w:rStyle w:val="Hyperlink"/>
            <w:color w:val="auto"/>
            <w:u w:val="none"/>
          </w:rPr>
          <w:t>10.1080/</w:t>
        </w:r>
        <w:r w:rsidRPr="00FC7A01">
          <w:rPr>
            <w:rStyle w:val="Hyperlink"/>
            <w:color w:val="auto"/>
            <w:u w:val="none"/>
          </w:rPr>
          <w:t>14735903</w:t>
        </w:r>
        <w:r w:rsidRPr="00F735DA">
          <w:rPr>
            <w:rStyle w:val="Hyperlink"/>
            <w:color w:val="auto"/>
            <w:u w:val="none"/>
          </w:rPr>
          <w:t>.2024.2318933</w:t>
        </w:r>
      </w:hyperlink>
      <w:r w:rsidRPr="00F735DA">
        <w:rPr>
          <w:rStyle w:val="Hyperlink"/>
          <w:color w:val="auto"/>
          <w:u w:val="none"/>
        </w:rPr>
        <w:t>, download: https://www.tandfonline.com/doi/full/10.1080/14735903.2024.2318933</w:t>
      </w:r>
    </w:p>
    <w:p w14:paraId="36417B5D" w14:textId="77777777" w:rsidR="00807FA6" w:rsidRPr="001255E8" w:rsidRDefault="00807FA6" w:rsidP="002A4390">
      <w:pPr>
        <w:pStyle w:val="FiBLmraddinfo"/>
        <w:rPr>
          <w:lang w:val="de-DE"/>
        </w:rPr>
      </w:pPr>
      <w:r w:rsidRPr="001255E8">
        <w:rPr>
          <w:lang w:val="de-DE"/>
        </w:rPr>
        <w:t>Diese Medienmitteilung im Internet</w:t>
      </w:r>
    </w:p>
    <w:p w14:paraId="495E30C6" w14:textId="01226BCD" w:rsidR="00460501" w:rsidRDefault="00807FA6" w:rsidP="00460501">
      <w:pPr>
        <w:pStyle w:val="FiBLmrstandard"/>
        <w:rPr>
          <w:lang w:val="de-DE"/>
        </w:rPr>
      </w:pPr>
      <w:r w:rsidRPr="001255E8">
        <w:rPr>
          <w:lang w:val="de-DE"/>
        </w:rPr>
        <w:t xml:space="preserve">Sie finden diese Medienmitteilung einschliesslich Bilder im Internet unter </w:t>
      </w:r>
      <w:hyperlink r:id="rId19" w:history="1">
        <w:r w:rsidR="00FC7A01" w:rsidRPr="004D5D9A">
          <w:rPr>
            <w:rStyle w:val="Hyperlink"/>
            <w:lang w:val="de-DE"/>
          </w:rPr>
          <w:t>www.fibl.org/de/infothek/medien.html</w:t>
        </w:r>
      </w:hyperlink>
    </w:p>
    <w:p w14:paraId="3F98ADC0" w14:textId="77777777" w:rsidR="00FC7A01" w:rsidRPr="001255E8" w:rsidRDefault="00FC7A01" w:rsidP="00460501">
      <w:pPr>
        <w:pStyle w:val="FiBLmrstandard"/>
        <w:rPr>
          <w:lang w:val="de-DE"/>
        </w:rPr>
      </w:pPr>
    </w:p>
    <w:p w14:paraId="1ACA8021" w14:textId="77777777" w:rsidR="00807FA6" w:rsidRPr="001255E8" w:rsidRDefault="00807FA6" w:rsidP="002A4390">
      <w:pPr>
        <w:pStyle w:val="FiBLmrannotation"/>
        <w:rPr>
          <w:b/>
          <w:lang w:val="de-DE"/>
        </w:rPr>
      </w:pPr>
      <w:r w:rsidRPr="001255E8">
        <w:rPr>
          <w:b/>
          <w:lang w:val="de-DE"/>
        </w:rPr>
        <w:t>Über das FiBL</w:t>
      </w:r>
    </w:p>
    <w:p w14:paraId="65A233D9" w14:textId="77777777" w:rsidR="00807FA6" w:rsidRPr="001255E8" w:rsidRDefault="00807FA6" w:rsidP="002A4390">
      <w:pPr>
        <w:pStyle w:val="FiBLmrannotation"/>
        <w:rPr>
          <w:lang w:val="de-DE"/>
        </w:rPr>
      </w:pPr>
      <w:r w:rsidRPr="001255E8">
        <w:rPr>
          <w:lang w:val="de-DE"/>
        </w:rPr>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ÖMKi (ungarisches Forschungsinstitut für biologischen Landbau, 2011), FiBL Frankreich (2017) und das gemeinsam von den fünf nationalen Instituten getragene FiBL Europe (2017) an. An den verschiedenen Standorten sind rund 400 Mitarbeitende tätig.</w:t>
      </w:r>
    </w:p>
    <w:p w14:paraId="724A4670" w14:textId="52097CA1" w:rsidR="00460501" w:rsidRPr="001255E8" w:rsidRDefault="00B77FA8" w:rsidP="00436199">
      <w:pPr>
        <w:pStyle w:val="FiBLmrtitle"/>
      </w:pPr>
      <w:proofErr w:type="spellStart"/>
      <w:r>
        <w:lastRenderedPageBreak/>
        <w:t>Weitere</w:t>
      </w:r>
      <w:proofErr w:type="spellEnd"/>
      <w:r>
        <w:t xml:space="preserve"> </w:t>
      </w:r>
      <w:proofErr w:type="spellStart"/>
      <w:r w:rsidR="004778B9" w:rsidRPr="001255E8">
        <w:t>Bilder</w:t>
      </w:r>
      <w:proofErr w:type="spellEnd"/>
    </w:p>
    <w:p w14:paraId="267D2FC6" w14:textId="77777777" w:rsidR="00460501" w:rsidRPr="001255E8" w:rsidRDefault="00460501" w:rsidP="00460501">
      <w:pPr>
        <w:rPr>
          <w:lang w:val="de-DE"/>
        </w:rPr>
      </w:pPr>
      <w:r w:rsidRPr="00436199">
        <w:rPr>
          <w:noProof/>
          <w:lang w:eastAsia="de-CH"/>
        </w:rPr>
        <w:drawing>
          <wp:inline distT="0" distB="0" distL="0" distR="0" wp14:anchorId="76863A63" wp14:editId="76BF4BEF">
            <wp:extent cx="5399706" cy="3838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A8CB2.8A6F7AC0"/>
                    <pic:cNvPicPr>
                      <a:picLocks noChangeAspect="1" noChangeArrowheads="1"/>
                    </pic:cNvPicPr>
                  </pic:nvPicPr>
                  <pic:blipFill rotWithShape="1">
                    <a:blip r:embed="rId20">
                      <a:extLst>
                        <a:ext uri="{28A0092B-C50C-407E-A947-70E740481C1C}">
                          <a14:useLocalDpi xmlns:a14="http://schemas.microsoft.com/office/drawing/2010/main"/>
                        </a:ext>
                      </a:extLst>
                    </a:blip>
                    <a:srcRect b="1579"/>
                    <a:stretch/>
                  </pic:blipFill>
                  <pic:spPr bwMode="auto">
                    <a:xfrm>
                      <a:off x="0" y="0"/>
                      <a:ext cx="5400040" cy="3838812"/>
                    </a:xfrm>
                    <a:prstGeom prst="rect">
                      <a:avLst/>
                    </a:prstGeom>
                    <a:noFill/>
                    <a:ln>
                      <a:noFill/>
                    </a:ln>
                    <a:extLst>
                      <a:ext uri="{53640926-AAD7-44D8-BBD7-CCE9431645EC}">
                        <a14:shadowObscured xmlns:a14="http://schemas.microsoft.com/office/drawing/2010/main"/>
                      </a:ext>
                    </a:extLst>
                  </pic:spPr>
                </pic:pic>
              </a:graphicData>
            </a:graphic>
          </wp:inline>
        </w:drawing>
      </w:r>
    </w:p>
    <w:p w14:paraId="3D10EA0F" w14:textId="490970AD" w:rsidR="00436199" w:rsidRDefault="00807FA6" w:rsidP="0021599E">
      <w:pPr>
        <w:pStyle w:val="FiBLmrfooter"/>
        <w:rPr>
          <w:shd w:val="clear" w:color="auto" w:fill="FFFFFF"/>
          <w:lang w:val="de-CH"/>
        </w:rPr>
      </w:pPr>
      <w:r w:rsidRPr="00E43302">
        <w:rPr>
          <w:shd w:val="clear" w:color="auto" w:fill="FFFFFF"/>
          <w:lang w:val="de-CH"/>
        </w:rPr>
        <w:t>Durchschnittliches verfügbares Einkommen</w:t>
      </w:r>
      <w:r w:rsidR="009F355F" w:rsidRPr="00E43302">
        <w:rPr>
          <w:shd w:val="clear" w:color="auto" w:fill="FFFFFF"/>
          <w:lang w:val="de-CH"/>
        </w:rPr>
        <w:t xml:space="preserve"> (</w:t>
      </w:r>
      <w:proofErr w:type="spellStart"/>
      <w:r w:rsidR="009F355F" w:rsidRPr="00E43302">
        <w:rPr>
          <w:shd w:val="clear" w:color="auto" w:fill="FFFFFF"/>
          <w:lang w:val="de-CH"/>
        </w:rPr>
        <w:t>average</w:t>
      </w:r>
      <w:proofErr w:type="spellEnd"/>
      <w:r w:rsidR="009F355F" w:rsidRPr="00E43302">
        <w:rPr>
          <w:shd w:val="clear" w:color="auto" w:fill="FFFFFF"/>
          <w:lang w:val="de-CH"/>
        </w:rPr>
        <w:t xml:space="preserve"> </w:t>
      </w:r>
      <w:proofErr w:type="spellStart"/>
      <w:r w:rsidR="009F355F" w:rsidRPr="00E43302">
        <w:rPr>
          <w:shd w:val="clear" w:color="auto" w:fill="FFFFFF"/>
          <w:lang w:val="de-CH"/>
        </w:rPr>
        <w:t>disposable</w:t>
      </w:r>
      <w:proofErr w:type="spellEnd"/>
      <w:r w:rsidR="009F355F" w:rsidRPr="00E43302">
        <w:rPr>
          <w:shd w:val="clear" w:color="auto" w:fill="FFFFFF"/>
          <w:lang w:val="de-CH"/>
        </w:rPr>
        <w:t xml:space="preserve"> </w:t>
      </w:r>
      <w:proofErr w:type="spellStart"/>
      <w:r w:rsidR="009F355F" w:rsidRPr="00E43302">
        <w:rPr>
          <w:shd w:val="clear" w:color="auto" w:fill="FFFFFF"/>
          <w:lang w:val="de-CH"/>
        </w:rPr>
        <w:t>income</w:t>
      </w:r>
      <w:proofErr w:type="spellEnd"/>
      <w:r w:rsidR="009F355F" w:rsidRPr="00E43302">
        <w:rPr>
          <w:shd w:val="clear" w:color="auto" w:fill="FFFFFF"/>
          <w:lang w:val="de-CH"/>
        </w:rPr>
        <w:t>)</w:t>
      </w:r>
      <w:r w:rsidRPr="00E43302">
        <w:rPr>
          <w:shd w:val="clear" w:color="auto" w:fill="FFFFFF"/>
          <w:lang w:val="de-CH"/>
        </w:rPr>
        <w:t xml:space="preserve"> im Vergleich: Biologische (</w:t>
      </w:r>
      <w:proofErr w:type="spellStart"/>
      <w:r w:rsidRPr="00E43302">
        <w:rPr>
          <w:shd w:val="clear" w:color="auto" w:fill="FFFFFF"/>
          <w:lang w:val="de-CH"/>
        </w:rPr>
        <w:t>organic</w:t>
      </w:r>
      <w:proofErr w:type="spellEnd"/>
      <w:r w:rsidRPr="00E43302">
        <w:rPr>
          <w:shd w:val="clear" w:color="auto" w:fill="FFFFFF"/>
          <w:lang w:val="de-CH"/>
        </w:rPr>
        <w:t>) versus konventionelle (</w:t>
      </w:r>
      <w:proofErr w:type="spellStart"/>
      <w:r w:rsidRPr="00E43302">
        <w:rPr>
          <w:shd w:val="clear" w:color="auto" w:fill="FFFFFF"/>
          <w:lang w:val="de-CH"/>
        </w:rPr>
        <w:t>conventional</w:t>
      </w:r>
      <w:proofErr w:type="spellEnd"/>
      <w:r w:rsidRPr="00E43302">
        <w:rPr>
          <w:shd w:val="clear" w:color="auto" w:fill="FFFFFF"/>
          <w:lang w:val="de-CH"/>
        </w:rPr>
        <w:t>) Landwirtschaft in Indien, Bolivien und Kenia</w:t>
      </w:r>
      <w:r w:rsidR="009F355F" w:rsidRPr="00E43302">
        <w:rPr>
          <w:shd w:val="clear" w:color="auto" w:fill="FFFFFF"/>
          <w:lang w:val="de-CH"/>
        </w:rPr>
        <w:t xml:space="preserve">. Die bislang in Studien kaum beachteten Nebenkulturen (Associate </w:t>
      </w:r>
      <w:proofErr w:type="spellStart"/>
      <w:r w:rsidR="009F355F" w:rsidRPr="00E43302">
        <w:rPr>
          <w:shd w:val="clear" w:color="auto" w:fill="FFFFFF"/>
          <w:lang w:val="de-CH"/>
        </w:rPr>
        <w:t>Crops</w:t>
      </w:r>
      <w:proofErr w:type="spellEnd"/>
      <w:r w:rsidR="009F355F" w:rsidRPr="00E43302">
        <w:rPr>
          <w:shd w:val="clear" w:color="auto" w:fill="FFFFFF"/>
          <w:lang w:val="de-CH"/>
        </w:rPr>
        <w:t xml:space="preserve">) sind wichtiger Bestandteil des Einkommens neben der meist für den Export bestimmten </w:t>
      </w:r>
      <w:r w:rsidR="009F355F" w:rsidRPr="000F1BD3">
        <w:rPr>
          <w:lang w:val="de-CH"/>
        </w:rPr>
        <w:t>Hauptkultur</w:t>
      </w:r>
      <w:r w:rsidR="009F355F" w:rsidRPr="00E43302">
        <w:rPr>
          <w:shd w:val="clear" w:color="auto" w:fill="FFFFFF"/>
          <w:lang w:val="de-CH"/>
        </w:rPr>
        <w:t xml:space="preserve"> (Cash </w:t>
      </w:r>
      <w:proofErr w:type="spellStart"/>
      <w:r w:rsidR="009F355F" w:rsidRPr="00E43302">
        <w:rPr>
          <w:shd w:val="clear" w:color="auto" w:fill="FFFFFF"/>
          <w:lang w:val="de-CH"/>
        </w:rPr>
        <w:t>Crop</w:t>
      </w:r>
      <w:proofErr w:type="spellEnd"/>
      <w:r w:rsidR="009F355F" w:rsidRPr="00E43302">
        <w:rPr>
          <w:shd w:val="clear" w:color="auto" w:fill="FFFFFF"/>
          <w:lang w:val="de-CH"/>
        </w:rPr>
        <w:t>).</w:t>
      </w:r>
      <w:r w:rsidR="0058513E">
        <w:rPr>
          <w:shd w:val="clear" w:color="auto" w:fill="FFFFFF"/>
          <w:lang w:val="de-CH"/>
        </w:rPr>
        <w:t xml:space="preserve"> (Grafik: FiBL)</w:t>
      </w:r>
    </w:p>
    <w:p w14:paraId="7DB329E1" w14:textId="77777777" w:rsidR="00436199" w:rsidRDefault="00436199">
      <w:pPr>
        <w:rPr>
          <w:rFonts w:ascii="Gill Sans MT" w:eastAsia="Sitka Text" w:hAnsi="Gill Sans MT" w:cs="Sitka Text"/>
          <w:color w:val="231F20"/>
          <w:w w:val="105"/>
          <w:sz w:val="20"/>
          <w:shd w:val="clear" w:color="auto" w:fill="FFFFFF"/>
          <w:lang w:eastAsia="en-US"/>
        </w:rPr>
      </w:pPr>
      <w:r>
        <w:rPr>
          <w:shd w:val="clear" w:color="auto" w:fill="FFFFFF"/>
        </w:rPr>
        <w:br w:type="page"/>
      </w:r>
    </w:p>
    <w:p w14:paraId="1E1BAACB" w14:textId="77777777" w:rsidR="00460501" w:rsidRPr="001255E8" w:rsidRDefault="00460501" w:rsidP="00460501">
      <w:pPr>
        <w:pStyle w:val="FiBLmrstandard"/>
        <w:rPr>
          <w:lang w:val="de-DE"/>
        </w:rPr>
      </w:pPr>
      <w:r w:rsidRPr="001255E8">
        <w:rPr>
          <w:noProof/>
          <w:lang w:val="de-CH" w:eastAsia="de-CH"/>
        </w:rPr>
        <w:lastRenderedPageBreak/>
        <w:drawing>
          <wp:inline distT="0" distB="0" distL="0" distR="0" wp14:anchorId="037FF2ED" wp14:editId="57CDF122">
            <wp:extent cx="5400040" cy="303974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BL_Johanna Rueehh_Bolivia_SysCom_Coffee_banana_2020-01_Rueegg_SaraAna%20(53).jpg"/>
                    <pic:cNvPicPr/>
                  </pic:nvPicPr>
                  <pic:blipFill>
                    <a:blip r:embed="rId21" cstate="screen">
                      <a:extLst>
                        <a:ext uri="{28A0092B-C50C-407E-A947-70E740481C1C}">
                          <a14:useLocalDpi xmlns:a14="http://schemas.microsoft.com/office/drawing/2010/main"/>
                        </a:ext>
                      </a:extLst>
                    </a:blip>
                    <a:stretch>
                      <a:fillRect/>
                    </a:stretch>
                  </pic:blipFill>
                  <pic:spPr>
                    <a:xfrm>
                      <a:off x="0" y="0"/>
                      <a:ext cx="5499707" cy="3095848"/>
                    </a:xfrm>
                    <a:prstGeom prst="rect">
                      <a:avLst/>
                    </a:prstGeom>
                  </pic:spPr>
                </pic:pic>
              </a:graphicData>
            </a:graphic>
          </wp:inline>
        </w:drawing>
      </w:r>
    </w:p>
    <w:p w14:paraId="2673EEDC" w14:textId="3D3399C4" w:rsidR="00460501" w:rsidRPr="001255E8" w:rsidRDefault="00807FA6" w:rsidP="0021599E">
      <w:pPr>
        <w:pStyle w:val="FiBLmrfooter"/>
        <w:rPr>
          <w:lang w:val="de-DE"/>
        </w:rPr>
      </w:pPr>
      <w:r w:rsidRPr="001255E8">
        <w:rPr>
          <w:lang w:val="de-DE"/>
        </w:rPr>
        <w:t xml:space="preserve">Biologische Anbausysteme (wie das </w:t>
      </w:r>
      <w:r w:rsidR="00D16095">
        <w:rPr>
          <w:lang w:val="de-DE"/>
        </w:rPr>
        <w:t xml:space="preserve">abgebildete bolivianische </w:t>
      </w:r>
      <w:r w:rsidRPr="001255E8">
        <w:rPr>
          <w:lang w:val="de-DE"/>
        </w:rPr>
        <w:t>Kakao-Agrofo</w:t>
      </w:r>
      <w:r w:rsidR="00F735DA">
        <w:rPr>
          <w:lang w:val="de-DE"/>
        </w:rPr>
        <w:t>r</w:t>
      </w:r>
      <w:r w:rsidRPr="001255E8">
        <w:rPr>
          <w:lang w:val="de-DE"/>
        </w:rPr>
        <w:t>s</w:t>
      </w:r>
      <w:r w:rsidR="00F735DA">
        <w:rPr>
          <w:lang w:val="de-DE"/>
        </w:rPr>
        <w:t>ts</w:t>
      </w:r>
      <w:r w:rsidRPr="001255E8">
        <w:rPr>
          <w:lang w:val="de-DE"/>
        </w:rPr>
        <w:t>ystem</w:t>
      </w:r>
      <w:r w:rsidR="00D16095">
        <w:rPr>
          <w:lang w:val="de-DE"/>
        </w:rPr>
        <w:t xml:space="preserve"> mit Begleitkulturen wie </w:t>
      </w:r>
      <w:r w:rsidR="004A00A4">
        <w:rPr>
          <w:lang w:val="de-DE"/>
        </w:rPr>
        <w:t>z.</w:t>
      </w:r>
      <w:r w:rsidR="000F1BD3">
        <w:rPr>
          <w:lang w:val="de-DE"/>
        </w:rPr>
        <w:t xml:space="preserve"> </w:t>
      </w:r>
      <w:r w:rsidR="004A00A4">
        <w:rPr>
          <w:lang w:val="de-DE"/>
        </w:rPr>
        <w:t xml:space="preserve">B. </w:t>
      </w:r>
      <w:r w:rsidR="00D16095">
        <w:rPr>
          <w:lang w:val="de-DE"/>
        </w:rPr>
        <w:t>Bananen</w:t>
      </w:r>
      <w:r w:rsidR="004A00A4">
        <w:rPr>
          <w:lang w:val="de-DE"/>
        </w:rPr>
        <w:t xml:space="preserve">, </w:t>
      </w:r>
      <w:r w:rsidR="004A00A4" w:rsidRPr="00E43302">
        <w:rPr>
          <w:lang w:val="de-CH"/>
        </w:rPr>
        <w:t>Curcuma, Ingwer oder Mais</w:t>
      </w:r>
      <w:r w:rsidRPr="001255E8">
        <w:rPr>
          <w:lang w:val="de-DE"/>
        </w:rPr>
        <w:t xml:space="preserve">) sind durch </w:t>
      </w:r>
      <w:r w:rsidRPr="000F1BD3">
        <w:rPr>
          <w:lang w:val="de-CH"/>
        </w:rPr>
        <w:t>das</w:t>
      </w:r>
      <w:r w:rsidRPr="001255E8">
        <w:rPr>
          <w:lang w:val="de-DE"/>
        </w:rPr>
        <w:t xml:space="preserve"> Zusammenspiel von Hauptkulturen mit Begleitkulturen ebenso profitabel wie konventionelle Systeme</w:t>
      </w:r>
      <w:r w:rsidR="00460501" w:rsidRPr="001255E8">
        <w:rPr>
          <w:lang w:val="de-DE"/>
        </w:rPr>
        <w:t xml:space="preserve">. </w:t>
      </w:r>
      <w:r w:rsidR="00A20642">
        <w:rPr>
          <w:lang w:val="de-DE"/>
        </w:rPr>
        <w:t>(</w:t>
      </w:r>
      <w:r w:rsidR="00F735DA">
        <w:rPr>
          <w:lang w:val="de-DE"/>
        </w:rPr>
        <w:t>F</w:t>
      </w:r>
      <w:r w:rsidR="00460501" w:rsidRPr="001255E8">
        <w:rPr>
          <w:lang w:val="de-DE"/>
        </w:rPr>
        <w:t>oto:</w:t>
      </w:r>
      <w:r w:rsidR="004A00A4">
        <w:rPr>
          <w:lang w:val="de-DE"/>
        </w:rPr>
        <w:t xml:space="preserve"> FiBL, </w:t>
      </w:r>
      <w:r w:rsidR="00460501" w:rsidRPr="001255E8">
        <w:rPr>
          <w:lang w:val="de-DE"/>
        </w:rPr>
        <w:t>Johanna Rüegg</w:t>
      </w:r>
      <w:r w:rsidR="00A20642">
        <w:rPr>
          <w:lang w:val="de-DE"/>
        </w:rPr>
        <w:t>)</w:t>
      </w:r>
    </w:p>
    <w:p w14:paraId="489F41D7" w14:textId="77777777" w:rsidR="00460501" w:rsidRPr="001255E8" w:rsidRDefault="00460501" w:rsidP="00460501">
      <w:pPr>
        <w:rPr>
          <w:lang w:val="de-DE"/>
        </w:rPr>
      </w:pPr>
    </w:p>
    <w:p w14:paraId="20ADBFBB" w14:textId="77777777" w:rsidR="00460501" w:rsidRPr="001255E8" w:rsidRDefault="00460501" w:rsidP="00460501">
      <w:pPr>
        <w:rPr>
          <w:lang w:val="de-DE"/>
        </w:rPr>
      </w:pPr>
      <w:r w:rsidRPr="001255E8">
        <w:rPr>
          <w:noProof/>
          <w:lang w:eastAsia="de-CH"/>
        </w:rPr>
        <w:drawing>
          <wp:inline distT="0" distB="0" distL="0" distR="0" wp14:anchorId="68CFE079" wp14:editId="46143312">
            <wp:extent cx="5400040" cy="35769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emmerli_SysCom_Workshop_Thika_28June2016 (147).JPG"/>
                    <pic:cNvPicPr/>
                  </pic:nvPicPr>
                  <pic:blipFill>
                    <a:blip r:embed="rId22" cstate="screen">
                      <a:extLst>
                        <a:ext uri="{28A0092B-C50C-407E-A947-70E740481C1C}">
                          <a14:useLocalDpi xmlns:a14="http://schemas.microsoft.com/office/drawing/2010/main"/>
                        </a:ext>
                      </a:extLst>
                    </a:blip>
                    <a:stretch>
                      <a:fillRect/>
                    </a:stretch>
                  </pic:blipFill>
                  <pic:spPr>
                    <a:xfrm>
                      <a:off x="0" y="0"/>
                      <a:ext cx="5400040" cy="3576955"/>
                    </a:xfrm>
                    <a:prstGeom prst="rect">
                      <a:avLst/>
                    </a:prstGeom>
                  </pic:spPr>
                </pic:pic>
              </a:graphicData>
            </a:graphic>
          </wp:inline>
        </w:drawing>
      </w:r>
    </w:p>
    <w:p w14:paraId="18E283F2" w14:textId="220B70B5" w:rsidR="00460501" w:rsidRPr="001255E8" w:rsidRDefault="002A4390" w:rsidP="001255E8">
      <w:pPr>
        <w:pStyle w:val="FiBLmrfooter"/>
        <w:rPr>
          <w:lang w:val="de-DE"/>
        </w:rPr>
      </w:pPr>
      <w:r w:rsidRPr="001255E8">
        <w:rPr>
          <w:lang w:val="de-DE"/>
        </w:rPr>
        <w:t xml:space="preserve">In Kenia </w:t>
      </w:r>
      <w:r w:rsidR="001255E8" w:rsidRPr="001255E8">
        <w:rPr>
          <w:lang w:val="de-DE"/>
        </w:rPr>
        <w:t xml:space="preserve">ist </w:t>
      </w:r>
      <w:r w:rsidRPr="001255E8">
        <w:rPr>
          <w:lang w:val="de-DE"/>
        </w:rPr>
        <w:t xml:space="preserve">Mais </w:t>
      </w:r>
      <w:r w:rsidR="001255E8" w:rsidRPr="001255E8">
        <w:rPr>
          <w:lang w:val="de-DE"/>
        </w:rPr>
        <w:t xml:space="preserve">die </w:t>
      </w:r>
      <w:r w:rsidRPr="001255E8">
        <w:rPr>
          <w:lang w:val="de-DE"/>
        </w:rPr>
        <w:t>Hauptkultur</w:t>
      </w:r>
      <w:r w:rsidR="00D16095">
        <w:rPr>
          <w:lang w:val="de-DE"/>
        </w:rPr>
        <w:t xml:space="preserve">. Im Biolandbau wird er oft abwechselnd mit </w:t>
      </w:r>
      <w:r w:rsidR="004A00A4">
        <w:rPr>
          <w:lang w:val="de-DE"/>
        </w:rPr>
        <w:t>Leguminosen, Gemüse oder Kartoffeln</w:t>
      </w:r>
      <w:r w:rsidR="005E0EC1">
        <w:rPr>
          <w:lang w:val="de-DE"/>
        </w:rPr>
        <w:t xml:space="preserve"> angebaut</w:t>
      </w:r>
      <w:r w:rsidR="00D16095">
        <w:rPr>
          <w:lang w:val="de-DE"/>
        </w:rPr>
        <w:t>. Diese anderen Kulturen in der Fruchtfolge sind enorm wichtig für das Einkommen und die Ernährung der lokalen Bevölkerung</w:t>
      </w:r>
      <w:r w:rsidRPr="001255E8">
        <w:rPr>
          <w:lang w:val="de-DE"/>
        </w:rPr>
        <w:t xml:space="preserve">. </w:t>
      </w:r>
      <w:r w:rsidR="00A20642">
        <w:rPr>
          <w:lang w:val="de-DE"/>
        </w:rPr>
        <w:t>(</w:t>
      </w:r>
      <w:r w:rsidRPr="001255E8">
        <w:rPr>
          <w:lang w:val="de-DE"/>
        </w:rPr>
        <w:t xml:space="preserve">Foto: </w:t>
      </w:r>
      <w:r w:rsidR="003F2CF1" w:rsidRPr="001255E8">
        <w:rPr>
          <w:lang w:val="de-DE"/>
        </w:rPr>
        <w:t>FiBL</w:t>
      </w:r>
      <w:r w:rsidR="003F2CF1">
        <w:rPr>
          <w:lang w:val="de-DE"/>
        </w:rPr>
        <w:t xml:space="preserve">, </w:t>
      </w:r>
      <w:r w:rsidRPr="001255E8">
        <w:rPr>
          <w:lang w:val="de-DE"/>
        </w:rPr>
        <w:t>Franziska Hämmerli</w:t>
      </w:r>
      <w:r w:rsidR="00A20642">
        <w:rPr>
          <w:lang w:val="de-DE"/>
        </w:rPr>
        <w:t>)</w:t>
      </w:r>
    </w:p>
    <w:sectPr w:rsidR="00460501" w:rsidRPr="001255E8" w:rsidSect="00232993">
      <w:footerReference w:type="default" r:id="rId23"/>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DD1AD0" w16cex:dateUtc="2024-03-17T23:27:39.906Z"/>
  <w16cex:commentExtensible w16cex:durableId="0853A0EA" w16cex:dateUtc="2024-03-17T23:31:54.471Z"/>
  <w16cex:commentExtensible w16cex:durableId="783DCE9F" w16cex:dateUtc="2024-03-17T23:38:16.991Z"/>
  <w16cex:commentExtensible w16cex:durableId="2705C780" w16cex:dateUtc="2024-03-17T23:39:58.557Z"/>
  <w16cex:commentExtensible w16cex:durableId="3BF3FA45" w16cex:dateUtc="2024-04-09T15:01:17.144Z"/>
  <w16cex:commentExtensible w16cex:durableId="43B3C213" w16cex:dateUtc="2024-04-09T15:02:04.099Z"/>
  <w16cex:commentExtensible w16cex:durableId="028F6540" w16cex:dateUtc="2024-04-09T15:05:46.263Z"/>
  <w16cex:commentExtensible w16cex:durableId="716F53C7" w16cex:dateUtc="2024-04-09T15:06:37.714Z"/>
  <w16cex:commentExtensible w16cex:durableId="6814ED2B" w16cex:dateUtc="2024-04-09T15:08:56.44Z"/>
  <w16cex:commentExtensible w16cex:durableId="4A31040F" w16cex:dateUtc="2024-04-09T15:09:05.7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7227F" w14:textId="77777777" w:rsidR="00C27F6F" w:rsidRDefault="00C27F6F" w:rsidP="00F53AA9">
      <w:pPr>
        <w:spacing w:after="0" w:line="240" w:lineRule="auto"/>
      </w:pPr>
      <w:r>
        <w:separator/>
      </w:r>
    </w:p>
  </w:endnote>
  <w:endnote w:type="continuationSeparator" w:id="0">
    <w:p w14:paraId="588F9960" w14:textId="77777777" w:rsidR="00C27F6F" w:rsidRDefault="00C27F6F" w:rsidP="00F53AA9">
      <w:pPr>
        <w:spacing w:after="0" w:line="240" w:lineRule="auto"/>
      </w:pPr>
      <w:r>
        <w:continuationSeparator/>
      </w:r>
    </w:p>
  </w:endnote>
  <w:endnote w:type="continuationNotice" w:id="1">
    <w:p w14:paraId="336CA25C" w14:textId="77777777" w:rsidR="00C27F6F" w:rsidRDefault="00C27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0F5BA4" w:rsidRPr="00E74C78" w14:paraId="6A7A7832" w14:textId="77777777" w:rsidTr="00232993">
      <w:trPr>
        <w:trHeight w:val="508"/>
      </w:trPr>
      <w:tc>
        <w:tcPr>
          <w:tcW w:w="7656" w:type="dxa"/>
        </w:tcPr>
        <w:p w14:paraId="4625A524" w14:textId="027C6920" w:rsidR="000F5BA4" w:rsidRPr="00E74C78" w:rsidRDefault="00E74C78" w:rsidP="00DA14CE">
          <w:pPr>
            <w:pStyle w:val="FiBLmrfooter"/>
            <w:rPr>
              <w:lang w:val="de-CH"/>
            </w:rPr>
          </w:pPr>
          <w:r w:rsidRPr="00E74C78">
            <w:rPr>
              <w:lang w:val="de-CH"/>
            </w:rPr>
            <w:t>Forschungsinstitut für b</w:t>
          </w:r>
          <w:r>
            <w:rPr>
              <w:lang w:val="de-CH"/>
            </w:rPr>
            <w:t>iologischen Landbau</w:t>
          </w:r>
          <w:r w:rsidR="000F5BA4" w:rsidRPr="00E74C78">
            <w:rPr>
              <w:lang w:val="de-CH"/>
            </w:rPr>
            <w:t xml:space="preserve"> FiBL | Ackerstrasse 113 | Postfach 219 </w:t>
          </w:r>
        </w:p>
        <w:p w14:paraId="2D3D2C9F" w14:textId="5133F294" w:rsidR="000F5BA4" w:rsidRPr="00E74C78" w:rsidRDefault="000F5BA4" w:rsidP="00CF6598">
          <w:pPr>
            <w:pStyle w:val="FiBLmrfooter"/>
            <w:rPr>
              <w:lang w:val="de-CH"/>
            </w:rPr>
          </w:pPr>
          <w:r w:rsidRPr="00E74C78">
            <w:rPr>
              <w:lang w:val="de-CH"/>
            </w:rPr>
            <w:t xml:space="preserve">5070 Frick | </w:t>
          </w:r>
          <w:r w:rsidR="00E74C78" w:rsidRPr="00E74C78">
            <w:rPr>
              <w:lang w:val="de-CH"/>
            </w:rPr>
            <w:t>Schwei</w:t>
          </w:r>
          <w:r w:rsidR="00E74C78">
            <w:rPr>
              <w:lang w:val="de-CH"/>
            </w:rPr>
            <w:t>z</w:t>
          </w:r>
          <w:r w:rsidRPr="00E74C78">
            <w:rPr>
              <w:lang w:val="de-CH"/>
            </w:rPr>
            <w:t xml:space="preserve"> | </w:t>
          </w:r>
          <w:r w:rsidR="00E74C78">
            <w:rPr>
              <w:lang w:val="de-CH"/>
            </w:rPr>
            <w:t>Telefon</w:t>
          </w:r>
          <w:r w:rsidRPr="00E74C78">
            <w:rPr>
              <w:lang w:val="de-CH"/>
            </w:rPr>
            <w:t xml:space="preserve"> +41 62 865 72 72 | </w:t>
          </w:r>
          <w:hyperlink r:id="rId1">
            <w:r w:rsidRPr="00E74C78">
              <w:rPr>
                <w:lang w:val="de-CH"/>
              </w:rPr>
              <w:t xml:space="preserve">info.suisse@fibl.org </w:t>
            </w:r>
          </w:hyperlink>
          <w:r w:rsidRPr="00E74C78">
            <w:rPr>
              <w:lang w:val="de-CH"/>
            </w:rPr>
            <w:t xml:space="preserve">| </w:t>
          </w:r>
          <w:hyperlink r:id="rId2">
            <w:r w:rsidRPr="00E74C78">
              <w:rPr>
                <w:lang w:val="de-CH"/>
              </w:rPr>
              <w:t>www.fibl.org</w:t>
            </w:r>
          </w:hyperlink>
        </w:p>
      </w:tc>
      <w:tc>
        <w:tcPr>
          <w:tcW w:w="407" w:type="dxa"/>
        </w:tcPr>
        <w:p w14:paraId="1EE5A1BC" w14:textId="77777777" w:rsidR="000F5BA4" w:rsidRPr="00E74C78" w:rsidRDefault="000F5BA4" w:rsidP="00DA14CE">
          <w:pPr>
            <w:pStyle w:val="FiBLmrpagenumber"/>
            <w:rPr>
              <w:lang w:val="de-CH"/>
            </w:rPr>
          </w:pPr>
        </w:p>
      </w:tc>
    </w:tr>
  </w:tbl>
  <w:p w14:paraId="7761FA44" w14:textId="77777777" w:rsidR="000F5BA4" w:rsidRPr="00E74C78" w:rsidRDefault="000F5BA4"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0F5BA4" w:rsidRPr="008A6B50" w14:paraId="11D3521C" w14:textId="77777777" w:rsidTr="003C1747">
      <w:trPr>
        <w:trHeight w:val="508"/>
      </w:trPr>
      <w:tc>
        <w:tcPr>
          <w:tcW w:w="4923" w:type="pct"/>
        </w:tcPr>
        <w:p w14:paraId="795865C0" w14:textId="3ACE0EC8" w:rsidR="000F5BA4" w:rsidRPr="000D7A27" w:rsidRDefault="004A00A4" w:rsidP="004A00A4">
          <w:pPr>
            <w:pStyle w:val="FiBLmrfooter"/>
          </w:pPr>
          <w:proofErr w:type="spellStart"/>
          <w:r>
            <w:t>Medienmitteilung</w:t>
          </w:r>
          <w:proofErr w:type="spellEnd"/>
          <w:r w:rsidR="000F5BA4">
            <w:t xml:space="preserve"> </w:t>
          </w:r>
          <w:proofErr w:type="spellStart"/>
          <w:r>
            <w:t>vom</w:t>
          </w:r>
          <w:proofErr w:type="spellEnd"/>
          <w:r>
            <w:t xml:space="preserve"> 25. April 2024</w:t>
          </w:r>
        </w:p>
      </w:tc>
      <w:tc>
        <w:tcPr>
          <w:tcW w:w="77" w:type="pct"/>
        </w:tcPr>
        <w:p w14:paraId="4F447F45" w14:textId="03FEF201" w:rsidR="000F5BA4" w:rsidRPr="00DA14CE" w:rsidRDefault="000F5BA4" w:rsidP="00DA14CE">
          <w:pPr>
            <w:pStyle w:val="FiBLmrpagenumber"/>
          </w:pPr>
          <w:r w:rsidRPr="00DA14CE">
            <w:fldChar w:fldCharType="begin"/>
          </w:r>
          <w:r w:rsidRPr="00DA14CE">
            <w:instrText xml:space="preserve"> PAGE   \* MERGEFORMAT </w:instrText>
          </w:r>
          <w:r w:rsidRPr="00DA14CE">
            <w:fldChar w:fldCharType="separate"/>
          </w:r>
          <w:r w:rsidR="008B7387">
            <w:rPr>
              <w:noProof/>
            </w:rPr>
            <w:t>5</w:t>
          </w:r>
          <w:r w:rsidRPr="00DA14CE">
            <w:fldChar w:fldCharType="end"/>
          </w:r>
        </w:p>
      </w:tc>
    </w:tr>
  </w:tbl>
  <w:p w14:paraId="7301C00E" w14:textId="77777777" w:rsidR="000F5BA4" w:rsidRPr="00F73377" w:rsidRDefault="000F5BA4"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C2EA6" w14:textId="77777777" w:rsidR="00C27F6F" w:rsidRDefault="00C27F6F" w:rsidP="00F53AA9">
      <w:pPr>
        <w:spacing w:after="0" w:line="240" w:lineRule="auto"/>
      </w:pPr>
      <w:r>
        <w:separator/>
      </w:r>
    </w:p>
  </w:footnote>
  <w:footnote w:type="continuationSeparator" w:id="0">
    <w:p w14:paraId="45D3FB69" w14:textId="77777777" w:rsidR="00C27F6F" w:rsidRDefault="00C27F6F" w:rsidP="00F53AA9">
      <w:pPr>
        <w:spacing w:after="0" w:line="240" w:lineRule="auto"/>
      </w:pPr>
      <w:r>
        <w:continuationSeparator/>
      </w:r>
    </w:p>
  </w:footnote>
  <w:footnote w:type="continuationNotice" w:id="1">
    <w:p w14:paraId="4E012BBB" w14:textId="77777777" w:rsidR="00C27F6F" w:rsidRDefault="00C27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0F5BA4" w14:paraId="718CB9EC" w14:textId="77777777" w:rsidTr="00232993">
      <w:trPr>
        <w:trHeight w:val="599"/>
      </w:trPr>
      <w:tc>
        <w:tcPr>
          <w:tcW w:w="1616" w:type="dxa"/>
        </w:tcPr>
        <w:p w14:paraId="7E19B778" w14:textId="77777777" w:rsidR="000F5BA4" w:rsidRPr="00C725B7" w:rsidRDefault="000F5BA4" w:rsidP="007666E3">
          <w:pPr>
            <w:pStyle w:val="FiBLmrheader"/>
          </w:pPr>
          <w:r>
            <w:rPr>
              <w:noProof/>
              <w:lang w:val="de-CH" w:eastAsia="de-CH"/>
            </w:rPr>
            <w:drawing>
              <wp:inline distT="0" distB="0" distL="0" distR="0" wp14:anchorId="468CD61E" wp14:editId="23FF26ED">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3BA0852F" w14:textId="77777777" w:rsidR="000F5BA4" w:rsidRDefault="000F5BA4" w:rsidP="007666E3">
          <w:pPr>
            <w:tabs>
              <w:tab w:val="right" w:pos="7653"/>
            </w:tabs>
          </w:pPr>
        </w:p>
      </w:tc>
      <w:tc>
        <w:tcPr>
          <w:tcW w:w="2268" w:type="dxa"/>
        </w:tcPr>
        <w:p w14:paraId="18222907" w14:textId="77777777" w:rsidR="000F5BA4" w:rsidRDefault="000F5BA4" w:rsidP="00A033E7">
          <w:pPr>
            <w:tabs>
              <w:tab w:val="right" w:pos="7653"/>
            </w:tabs>
            <w:jc w:val="right"/>
          </w:pPr>
        </w:p>
      </w:tc>
    </w:tr>
  </w:tbl>
  <w:p w14:paraId="3EC57E68" w14:textId="77777777" w:rsidR="000F5BA4" w:rsidRDefault="000F5BA4"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96E"/>
    <w:multiLevelType w:val="hybridMultilevel"/>
    <w:tmpl w:val="6D4A4B20"/>
    <w:lvl w:ilvl="0" w:tplc="C2B04FD8">
      <w:numFmt w:val="bullet"/>
      <w:lvlText w:val="-"/>
      <w:lvlJc w:val="left"/>
      <w:pPr>
        <w:ind w:left="720" w:hanging="360"/>
      </w:pPr>
      <w:rPr>
        <w:rFonts w:ascii="Palatino Linotype" w:eastAsiaTheme="minorEastAsia"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3DE833E3"/>
    <w:multiLevelType w:val="hybridMultilevel"/>
    <w:tmpl w:val="6E9CC06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A026CF7"/>
    <w:multiLevelType w:val="hybridMultilevel"/>
    <w:tmpl w:val="1CD68858"/>
    <w:lvl w:ilvl="0" w:tplc="D74C3A1E">
      <w:numFmt w:val="bullet"/>
      <w:lvlText w:val="•"/>
      <w:lvlJc w:val="left"/>
      <w:pPr>
        <w:ind w:left="1770" w:hanging="360"/>
      </w:pPr>
      <w:rPr>
        <w:rFonts w:ascii="Calibri" w:eastAsiaTheme="minorHAnsi" w:hAnsi="Calibri" w:cs="Calibri" w:hint="default"/>
      </w:rPr>
    </w:lvl>
    <w:lvl w:ilvl="1" w:tplc="08070003">
      <w:start w:val="1"/>
      <w:numFmt w:val="bullet"/>
      <w:lvlText w:val="o"/>
      <w:lvlJc w:val="left"/>
      <w:pPr>
        <w:ind w:left="2145" w:hanging="360"/>
      </w:pPr>
      <w:rPr>
        <w:rFonts w:ascii="Courier New" w:hAnsi="Courier New" w:cs="Courier New" w:hint="default"/>
      </w:rPr>
    </w:lvl>
    <w:lvl w:ilvl="2" w:tplc="08070005" w:tentative="1">
      <w:start w:val="1"/>
      <w:numFmt w:val="bullet"/>
      <w:lvlText w:val=""/>
      <w:lvlJc w:val="left"/>
      <w:pPr>
        <w:ind w:left="2865" w:hanging="360"/>
      </w:pPr>
      <w:rPr>
        <w:rFonts w:ascii="Wingdings" w:hAnsi="Wingdings" w:hint="default"/>
      </w:rPr>
    </w:lvl>
    <w:lvl w:ilvl="3" w:tplc="08070001" w:tentative="1">
      <w:start w:val="1"/>
      <w:numFmt w:val="bullet"/>
      <w:lvlText w:val=""/>
      <w:lvlJc w:val="left"/>
      <w:pPr>
        <w:ind w:left="3585" w:hanging="360"/>
      </w:pPr>
      <w:rPr>
        <w:rFonts w:ascii="Symbol" w:hAnsi="Symbol" w:hint="default"/>
      </w:rPr>
    </w:lvl>
    <w:lvl w:ilvl="4" w:tplc="08070003" w:tentative="1">
      <w:start w:val="1"/>
      <w:numFmt w:val="bullet"/>
      <w:lvlText w:val="o"/>
      <w:lvlJc w:val="left"/>
      <w:pPr>
        <w:ind w:left="4305" w:hanging="360"/>
      </w:pPr>
      <w:rPr>
        <w:rFonts w:ascii="Courier New" w:hAnsi="Courier New" w:cs="Courier New" w:hint="default"/>
      </w:rPr>
    </w:lvl>
    <w:lvl w:ilvl="5" w:tplc="08070005" w:tentative="1">
      <w:start w:val="1"/>
      <w:numFmt w:val="bullet"/>
      <w:lvlText w:val=""/>
      <w:lvlJc w:val="left"/>
      <w:pPr>
        <w:ind w:left="5025" w:hanging="360"/>
      </w:pPr>
      <w:rPr>
        <w:rFonts w:ascii="Wingdings" w:hAnsi="Wingdings" w:hint="default"/>
      </w:rPr>
    </w:lvl>
    <w:lvl w:ilvl="6" w:tplc="08070001" w:tentative="1">
      <w:start w:val="1"/>
      <w:numFmt w:val="bullet"/>
      <w:lvlText w:val=""/>
      <w:lvlJc w:val="left"/>
      <w:pPr>
        <w:ind w:left="5745" w:hanging="360"/>
      </w:pPr>
      <w:rPr>
        <w:rFonts w:ascii="Symbol" w:hAnsi="Symbol" w:hint="default"/>
      </w:rPr>
    </w:lvl>
    <w:lvl w:ilvl="7" w:tplc="08070003" w:tentative="1">
      <w:start w:val="1"/>
      <w:numFmt w:val="bullet"/>
      <w:lvlText w:val="o"/>
      <w:lvlJc w:val="left"/>
      <w:pPr>
        <w:ind w:left="6465" w:hanging="360"/>
      </w:pPr>
      <w:rPr>
        <w:rFonts w:ascii="Courier New" w:hAnsi="Courier New" w:cs="Courier New" w:hint="default"/>
      </w:rPr>
    </w:lvl>
    <w:lvl w:ilvl="8" w:tplc="08070005" w:tentative="1">
      <w:start w:val="1"/>
      <w:numFmt w:val="bullet"/>
      <w:lvlText w:val=""/>
      <w:lvlJc w:val="left"/>
      <w:pPr>
        <w:ind w:left="7185" w:hanging="360"/>
      </w:pPr>
      <w:rPr>
        <w:rFonts w:ascii="Wingdings" w:hAnsi="Wingdings" w:hint="default"/>
      </w:rPr>
    </w:lvl>
  </w:abstractNum>
  <w:abstractNum w:abstractNumId="6"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22C499E"/>
    <w:multiLevelType w:val="hybridMultilevel"/>
    <w:tmpl w:val="78C490FA"/>
    <w:lvl w:ilvl="0" w:tplc="50A89DD4">
      <w:start w:val="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en-GB"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G0NLQ0NjM1tzAzNTRQ0lEKTi0uzszPAymwqAUAzef2OSwAAAA="/>
  </w:docVars>
  <w:rsids>
    <w:rsidRoot w:val="008D48AD"/>
    <w:rsid w:val="00001348"/>
    <w:rsid w:val="00012067"/>
    <w:rsid w:val="0001641C"/>
    <w:rsid w:val="00021A00"/>
    <w:rsid w:val="0007317C"/>
    <w:rsid w:val="0008157D"/>
    <w:rsid w:val="00087E48"/>
    <w:rsid w:val="00090F0E"/>
    <w:rsid w:val="000912D9"/>
    <w:rsid w:val="00097E74"/>
    <w:rsid w:val="000A07D7"/>
    <w:rsid w:val="000A0CF7"/>
    <w:rsid w:val="000A3B13"/>
    <w:rsid w:val="000A3E9B"/>
    <w:rsid w:val="000B0DFD"/>
    <w:rsid w:val="000B5156"/>
    <w:rsid w:val="000B55B0"/>
    <w:rsid w:val="000C429D"/>
    <w:rsid w:val="000C42AC"/>
    <w:rsid w:val="000C7401"/>
    <w:rsid w:val="000C75D0"/>
    <w:rsid w:val="000D5714"/>
    <w:rsid w:val="000D7A27"/>
    <w:rsid w:val="000F1BD3"/>
    <w:rsid w:val="000F5BA4"/>
    <w:rsid w:val="000F7F72"/>
    <w:rsid w:val="001050BE"/>
    <w:rsid w:val="00107221"/>
    <w:rsid w:val="001107EE"/>
    <w:rsid w:val="00115A1C"/>
    <w:rsid w:val="001255E8"/>
    <w:rsid w:val="00126973"/>
    <w:rsid w:val="00131306"/>
    <w:rsid w:val="00132275"/>
    <w:rsid w:val="001354F8"/>
    <w:rsid w:val="00146772"/>
    <w:rsid w:val="001704B8"/>
    <w:rsid w:val="0017068A"/>
    <w:rsid w:val="0018434A"/>
    <w:rsid w:val="00195EC7"/>
    <w:rsid w:val="001A25C3"/>
    <w:rsid w:val="001A503F"/>
    <w:rsid w:val="001A7634"/>
    <w:rsid w:val="001B1348"/>
    <w:rsid w:val="001B3DB5"/>
    <w:rsid w:val="001C448C"/>
    <w:rsid w:val="001E1C11"/>
    <w:rsid w:val="001F529F"/>
    <w:rsid w:val="001F73B5"/>
    <w:rsid w:val="00201306"/>
    <w:rsid w:val="00203CB5"/>
    <w:rsid w:val="00211862"/>
    <w:rsid w:val="0021599E"/>
    <w:rsid w:val="00215D3F"/>
    <w:rsid w:val="00217211"/>
    <w:rsid w:val="002203DD"/>
    <w:rsid w:val="0022639B"/>
    <w:rsid w:val="00230924"/>
    <w:rsid w:val="00232993"/>
    <w:rsid w:val="00235A74"/>
    <w:rsid w:val="00237060"/>
    <w:rsid w:val="00280674"/>
    <w:rsid w:val="002837D9"/>
    <w:rsid w:val="0028E5CF"/>
    <w:rsid w:val="002925F1"/>
    <w:rsid w:val="002A20D4"/>
    <w:rsid w:val="002A4390"/>
    <w:rsid w:val="002A662C"/>
    <w:rsid w:val="002B1D53"/>
    <w:rsid w:val="002B6CE5"/>
    <w:rsid w:val="002B701B"/>
    <w:rsid w:val="002C0814"/>
    <w:rsid w:val="002C0BC7"/>
    <w:rsid w:val="002C2496"/>
    <w:rsid w:val="002C3506"/>
    <w:rsid w:val="002C5680"/>
    <w:rsid w:val="002D6527"/>
    <w:rsid w:val="002D757B"/>
    <w:rsid w:val="002D7D78"/>
    <w:rsid w:val="002E071D"/>
    <w:rsid w:val="002F1625"/>
    <w:rsid w:val="002F586A"/>
    <w:rsid w:val="0030119E"/>
    <w:rsid w:val="00302645"/>
    <w:rsid w:val="0030402F"/>
    <w:rsid w:val="003150C5"/>
    <w:rsid w:val="0031585B"/>
    <w:rsid w:val="0033308D"/>
    <w:rsid w:val="00353FF3"/>
    <w:rsid w:val="00355F3B"/>
    <w:rsid w:val="00387887"/>
    <w:rsid w:val="0039257B"/>
    <w:rsid w:val="003A4191"/>
    <w:rsid w:val="003B0593"/>
    <w:rsid w:val="003C09F5"/>
    <w:rsid w:val="003C1747"/>
    <w:rsid w:val="003C6406"/>
    <w:rsid w:val="003D1138"/>
    <w:rsid w:val="003D7193"/>
    <w:rsid w:val="003F2CF1"/>
    <w:rsid w:val="003F6525"/>
    <w:rsid w:val="004044AF"/>
    <w:rsid w:val="0041671F"/>
    <w:rsid w:val="00416BA5"/>
    <w:rsid w:val="00422D07"/>
    <w:rsid w:val="00423C89"/>
    <w:rsid w:val="00431E03"/>
    <w:rsid w:val="00435155"/>
    <w:rsid w:val="00436199"/>
    <w:rsid w:val="0044286A"/>
    <w:rsid w:val="00446B90"/>
    <w:rsid w:val="00450F2F"/>
    <w:rsid w:val="00453BD9"/>
    <w:rsid w:val="004570C7"/>
    <w:rsid w:val="0045715C"/>
    <w:rsid w:val="00460501"/>
    <w:rsid w:val="00465871"/>
    <w:rsid w:val="0046602F"/>
    <w:rsid w:val="00467197"/>
    <w:rsid w:val="004762FE"/>
    <w:rsid w:val="004778B9"/>
    <w:rsid w:val="004807B1"/>
    <w:rsid w:val="00480CCB"/>
    <w:rsid w:val="00492231"/>
    <w:rsid w:val="004A00A4"/>
    <w:rsid w:val="004B627E"/>
    <w:rsid w:val="004C3EBD"/>
    <w:rsid w:val="004C4067"/>
    <w:rsid w:val="004D3FEF"/>
    <w:rsid w:val="004D6428"/>
    <w:rsid w:val="004F613F"/>
    <w:rsid w:val="005010F5"/>
    <w:rsid w:val="005076BE"/>
    <w:rsid w:val="00516BB3"/>
    <w:rsid w:val="00532A3E"/>
    <w:rsid w:val="00535DBA"/>
    <w:rsid w:val="00540B0E"/>
    <w:rsid w:val="00540DAE"/>
    <w:rsid w:val="00555C7D"/>
    <w:rsid w:val="00562591"/>
    <w:rsid w:val="00564993"/>
    <w:rsid w:val="00567811"/>
    <w:rsid w:val="00570443"/>
    <w:rsid w:val="005718EB"/>
    <w:rsid w:val="00571E3B"/>
    <w:rsid w:val="00580C94"/>
    <w:rsid w:val="0058513E"/>
    <w:rsid w:val="005867AD"/>
    <w:rsid w:val="005938C8"/>
    <w:rsid w:val="0059401F"/>
    <w:rsid w:val="005B1D20"/>
    <w:rsid w:val="005B4CDC"/>
    <w:rsid w:val="005B675F"/>
    <w:rsid w:val="005C2A50"/>
    <w:rsid w:val="005D0989"/>
    <w:rsid w:val="005D1449"/>
    <w:rsid w:val="005E0EC1"/>
    <w:rsid w:val="005F1171"/>
    <w:rsid w:val="005F1359"/>
    <w:rsid w:val="005F460D"/>
    <w:rsid w:val="005F5A7E"/>
    <w:rsid w:val="006118B6"/>
    <w:rsid w:val="006164D4"/>
    <w:rsid w:val="00624D59"/>
    <w:rsid w:val="00635BA5"/>
    <w:rsid w:val="006410F4"/>
    <w:rsid w:val="00646911"/>
    <w:rsid w:val="006569B3"/>
    <w:rsid w:val="00661678"/>
    <w:rsid w:val="0066529D"/>
    <w:rsid w:val="00673935"/>
    <w:rsid w:val="006751C6"/>
    <w:rsid w:val="00681E9E"/>
    <w:rsid w:val="006919F6"/>
    <w:rsid w:val="006B497B"/>
    <w:rsid w:val="006B595F"/>
    <w:rsid w:val="006D0FF6"/>
    <w:rsid w:val="006D3301"/>
    <w:rsid w:val="006D4D11"/>
    <w:rsid w:val="006E0342"/>
    <w:rsid w:val="006E612A"/>
    <w:rsid w:val="006E619E"/>
    <w:rsid w:val="006F21FC"/>
    <w:rsid w:val="006F32D0"/>
    <w:rsid w:val="006F5F4D"/>
    <w:rsid w:val="0070622B"/>
    <w:rsid w:val="007075B7"/>
    <w:rsid w:val="00712776"/>
    <w:rsid w:val="00712E7D"/>
    <w:rsid w:val="00713443"/>
    <w:rsid w:val="007149FB"/>
    <w:rsid w:val="00727486"/>
    <w:rsid w:val="00736F11"/>
    <w:rsid w:val="00752187"/>
    <w:rsid w:val="00753B28"/>
    <w:rsid w:val="00754508"/>
    <w:rsid w:val="00764E69"/>
    <w:rsid w:val="007666E3"/>
    <w:rsid w:val="007774D1"/>
    <w:rsid w:val="00783BE6"/>
    <w:rsid w:val="0078787E"/>
    <w:rsid w:val="00793238"/>
    <w:rsid w:val="007952F3"/>
    <w:rsid w:val="007A051D"/>
    <w:rsid w:val="007A0D20"/>
    <w:rsid w:val="007B2957"/>
    <w:rsid w:val="007B2ECA"/>
    <w:rsid w:val="007C50A7"/>
    <w:rsid w:val="007C6110"/>
    <w:rsid w:val="007C68E9"/>
    <w:rsid w:val="007C7E19"/>
    <w:rsid w:val="00800B17"/>
    <w:rsid w:val="00806A24"/>
    <w:rsid w:val="00807FA6"/>
    <w:rsid w:val="00817B94"/>
    <w:rsid w:val="0082274F"/>
    <w:rsid w:val="00823157"/>
    <w:rsid w:val="008302BB"/>
    <w:rsid w:val="00835EC4"/>
    <w:rsid w:val="008417D3"/>
    <w:rsid w:val="00842F22"/>
    <w:rsid w:val="00857618"/>
    <w:rsid w:val="00861053"/>
    <w:rsid w:val="00866E96"/>
    <w:rsid w:val="00872371"/>
    <w:rsid w:val="00881231"/>
    <w:rsid w:val="008851E6"/>
    <w:rsid w:val="008A5E8C"/>
    <w:rsid w:val="008A6B50"/>
    <w:rsid w:val="008B6BDC"/>
    <w:rsid w:val="008B7311"/>
    <w:rsid w:val="008B7387"/>
    <w:rsid w:val="008D48AD"/>
    <w:rsid w:val="008F5F5B"/>
    <w:rsid w:val="008F6530"/>
    <w:rsid w:val="008F70F5"/>
    <w:rsid w:val="009109C1"/>
    <w:rsid w:val="00912F05"/>
    <w:rsid w:val="00912F69"/>
    <w:rsid w:val="00921F75"/>
    <w:rsid w:val="009256A6"/>
    <w:rsid w:val="0092623A"/>
    <w:rsid w:val="00941BC7"/>
    <w:rsid w:val="0096646C"/>
    <w:rsid w:val="009669B5"/>
    <w:rsid w:val="00972491"/>
    <w:rsid w:val="009767BF"/>
    <w:rsid w:val="00981742"/>
    <w:rsid w:val="00982A03"/>
    <w:rsid w:val="00983AAB"/>
    <w:rsid w:val="00986F71"/>
    <w:rsid w:val="009A3F22"/>
    <w:rsid w:val="009A52C4"/>
    <w:rsid w:val="009A585F"/>
    <w:rsid w:val="009C0B90"/>
    <w:rsid w:val="009C0F61"/>
    <w:rsid w:val="009C3527"/>
    <w:rsid w:val="009C52E4"/>
    <w:rsid w:val="009C7E54"/>
    <w:rsid w:val="009D6DFF"/>
    <w:rsid w:val="009F1AD7"/>
    <w:rsid w:val="009F355F"/>
    <w:rsid w:val="00A033E7"/>
    <w:rsid w:val="00A04F66"/>
    <w:rsid w:val="00A135C6"/>
    <w:rsid w:val="00A1627A"/>
    <w:rsid w:val="00A20642"/>
    <w:rsid w:val="00A365ED"/>
    <w:rsid w:val="00A376FC"/>
    <w:rsid w:val="00A478A3"/>
    <w:rsid w:val="00A54AC7"/>
    <w:rsid w:val="00A566EE"/>
    <w:rsid w:val="00A57050"/>
    <w:rsid w:val="00A624F0"/>
    <w:rsid w:val="00A632FC"/>
    <w:rsid w:val="00A6709B"/>
    <w:rsid w:val="00A82616"/>
    <w:rsid w:val="00A83320"/>
    <w:rsid w:val="00A8490E"/>
    <w:rsid w:val="00A84D76"/>
    <w:rsid w:val="00A8665A"/>
    <w:rsid w:val="00AA09A0"/>
    <w:rsid w:val="00AA295A"/>
    <w:rsid w:val="00AA7503"/>
    <w:rsid w:val="00AB01F1"/>
    <w:rsid w:val="00AC6487"/>
    <w:rsid w:val="00AD0D84"/>
    <w:rsid w:val="00AD6355"/>
    <w:rsid w:val="00AF74CE"/>
    <w:rsid w:val="00B00A0A"/>
    <w:rsid w:val="00B116CC"/>
    <w:rsid w:val="00B11B61"/>
    <w:rsid w:val="00B15BC3"/>
    <w:rsid w:val="00B16180"/>
    <w:rsid w:val="00B169A5"/>
    <w:rsid w:val="00B25F0B"/>
    <w:rsid w:val="00B273D2"/>
    <w:rsid w:val="00B273DE"/>
    <w:rsid w:val="00B36EF2"/>
    <w:rsid w:val="00B44024"/>
    <w:rsid w:val="00B77FA8"/>
    <w:rsid w:val="00BA0796"/>
    <w:rsid w:val="00BB6309"/>
    <w:rsid w:val="00BB7AF8"/>
    <w:rsid w:val="00BB7B0E"/>
    <w:rsid w:val="00BC05AC"/>
    <w:rsid w:val="00BC63BE"/>
    <w:rsid w:val="00BE2284"/>
    <w:rsid w:val="00C10742"/>
    <w:rsid w:val="00C14AA4"/>
    <w:rsid w:val="00C23526"/>
    <w:rsid w:val="00C24578"/>
    <w:rsid w:val="00C25003"/>
    <w:rsid w:val="00C27F6F"/>
    <w:rsid w:val="00C3309F"/>
    <w:rsid w:val="00C4331B"/>
    <w:rsid w:val="00C50896"/>
    <w:rsid w:val="00C54E7B"/>
    <w:rsid w:val="00C5774C"/>
    <w:rsid w:val="00C65D2A"/>
    <w:rsid w:val="00C725B7"/>
    <w:rsid w:val="00C73E52"/>
    <w:rsid w:val="00C8256D"/>
    <w:rsid w:val="00C860D7"/>
    <w:rsid w:val="00C92541"/>
    <w:rsid w:val="00C93A6C"/>
    <w:rsid w:val="00CA48EB"/>
    <w:rsid w:val="00CA7ABA"/>
    <w:rsid w:val="00CB26FA"/>
    <w:rsid w:val="00CC3D03"/>
    <w:rsid w:val="00CD4B01"/>
    <w:rsid w:val="00CE0299"/>
    <w:rsid w:val="00CE1A38"/>
    <w:rsid w:val="00CE3F05"/>
    <w:rsid w:val="00CF4CEC"/>
    <w:rsid w:val="00CF6598"/>
    <w:rsid w:val="00D06A9E"/>
    <w:rsid w:val="00D10F71"/>
    <w:rsid w:val="00D142E7"/>
    <w:rsid w:val="00D14FBD"/>
    <w:rsid w:val="00D16095"/>
    <w:rsid w:val="00D16F19"/>
    <w:rsid w:val="00D20589"/>
    <w:rsid w:val="00D25E6E"/>
    <w:rsid w:val="00D33714"/>
    <w:rsid w:val="00D3495C"/>
    <w:rsid w:val="00D36442"/>
    <w:rsid w:val="00D5665E"/>
    <w:rsid w:val="00D60E73"/>
    <w:rsid w:val="00D73085"/>
    <w:rsid w:val="00D758DB"/>
    <w:rsid w:val="00D77048"/>
    <w:rsid w:val="00D7727C"/>
    <w:rsid w:val="00D828CA"/>
    <w:rsid w:val="00D82FEC"/>
    <w:rsid w:val="00D84B91"/>
    <w:rsid w:val="00D86802"/>
    <w:rsid w:val="00D93688"/>
    <w:rsid w:val="00D94956"/>
    <w:rsid w:val="00DA14CE"/>
    <w:rsid w:val="00DA5D86"/>
    <w:rsid w:val="00DA7216"/>
    <w:rsid w:val="00DA73E1"/>
    <w:rsid w:val="00DC15AC"/>
    <w:rsid w:val="00DC5A83"/>
    <w:rsid w:val="00DC6E69"/>
    <w:rsid w:val="00DD0000"/>
    <w:rsid w:val="00DD2F11"/>
    <w:rsid w:val="00DE2567"/>
    <w:rsid w:val="00DE44EA"/>
    <w:rsid w:val="00DF113F"/>
    <w:rsid w:val="00E06042"/>
    <w:rsid w:val="00E12606"/>
    <w:rsid w:val="00E16E44"/>
    <w:rsid w:val="00E21ECA"/>
    <w:rsid w:val="00E25A6A"/>
    <w:rsid w:val="00E26382"/>
    <w:rsid w:val="00E32B51"/>
    <w:rsid w:val="00E34E1A"/>
    <w:rsid w:val="00E43302"/>
    <w:rsid w:val="00E43340"/>
    <w:rsid w:val="00E433A3"/>
    <w:rsid w:val="00E451EE"/>
    <w:rsid w:val="00E64975"/>
    <w:rsid w:val="00E66971"/>
    <w:rsid w:val="00E71FBF"/>
    <w:rsid w:val="00E74C78"/>
    <w:rsid w:val="00E7760F"/>
    <w:rsid w:val="00EA18CF"/>
    <w:rsid w:val="00ED0946"/>
    <w:rsid w:val="00EF726D"/>
    <w:rsid w:val="00F042B2"/>
    <w:rsid w:val="00F04498"/>
    <w:rsid w:val="00F07B60"/>
    <w:rsid w:val="00F21C5E"/>
    <w:rsid w:val="00F224CC"/>
    <w:rsid w:val="00F2272F"/>
    <w:rsid w:val="00F23359"/>
    <w:rsid w:val="00F41765"/>
    <w:rsid w:val="00F463DB"/>
    <w:rsid w:val="00F52B79"/>
    <w:rsid w:val="00F53AA9"/>
    <w:rsid w:val="00F620F0"/>
    <w:rsid w:val="00F6745D"/>
    <w:rsid w:val="00F678FA"/>
    <w:rsid w:val="00F73377"/>
    <w:rsid w:val="00F735DA"/>
    <w:rsid w:val="00FA0C71"/>
    <w:rsid w:val="00FA3358"/>
    <w:rsid w:val="00FB36B7"/>
    <w:rsid w:val="00FC5887"/>
    <w:rsid w:val="00FC7A01"/>
    <w:rsid w:val="00FC7C7B"/>
    <w:rsid w:val="00FD7481"/>
    <w:rsid w:val="00FD74BF"/>
    <w:rsid w:val="00FE2E65"/>
    <w:rsid w:val="00FF3DC8"/>
    <w:rsid w:val="00FF5DE7"/>
    <w:rsid w:val="00FF7DD7"/>
    <w:rsid w:val="084FDAB5"/>
    <w:rsid w:val="0E44FAA3"/>
    <w:rsid w:val="12B947DF"/>
    <w:rsid w:val="142AD9EA"/>
    <w:rsid w:val="19B7AC71"/>
    <w:rsid w:val="19C12116"/>
    <w:rsid w:val="1BB9C902"/>
    <w:rsid w:val="22B3CD47"/>
    <w:rsid w:val="256294F6"/>
    <w:rsid w:val="261A00AD"/>
    <w:rsid w:val="26CE5EC1"/>
    <w:rsid w:val="271796AD"/>
    <w:rsid w:val="275AC456"/>
    <w:rsid w:val="29F5AD4B"/>
    <w:rsid w:val="2AA66B14"/>
    <w:rsid w:val="2AD1C087"/>
    <w:rsid w:val="2BFAE56F"/>
    <w:rsid w:val="2D0D5E83"/>
    <w:rsid w:val="2F8BA5BC"/>
    <w:rsid w:val="301EBF5E"/>
    <w:rsid w:val="302CE14C"/>
    <w:rsid w:val="344F4D17"/>
    <w:rsid w:val="3850112A"/>
    <w:rsid w:val="3922BE3A"/>
    <w:rsid w:val="39C727B7"/>
    <w:rsid w:val="3AF447CA"/>
    <w:rsid w:val="3CF3565C"/>
    <w:rsid w:val="3F397549"/>
    <w:rsid w:val="424E95D2"/>
    <w:rsid w:val="4258B8DA"/>
    <w:rsid w:val="4359ECC0"/>
    <w:rsid w:val="4A4E5CAE"/>
    <w:rsid w:val="4ADC9FEB"/>
    <w:rsid w:val="4B450CBC"/>
    <w:rsid w:val="4FB0110E"/>
    <w:rsid w:val="5157E91D"/>
    <w:rsid w:val="51BF9A0D"/>
    <w:rsid w:val="524F1DB8"/>
    <w:rsid w:val="55CD9D89"/>
    <w:rsid w:val="611FD3C7"/>
    <w:rsid w:val="63798105"/>
    <w:rsid w:val="64F8665C"/>
    <w:rsid w:val="65744091"/>
    <w:rsid w:val="659D51D0"/>
    <w:rsid w:val="6F64DF23"/>
    <w:rsid w:val="7415CCBE"/>
    <w:rsid w:val="74B11CD7"/>
    <w:rsid w:val="750D601B"/>
    <w:rsid w:val="762C81EE"/>
    <w:rsid w:val="7A37CF68"/>
    <w:rsid w:val="7DB1FDAF"/>
    <w:rsid w:val="7F4A6E2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C5C0F3"/>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72"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basedOn w:val="Standard"/>
    <w:link w:val="berschrift1Zchn"/>
    <w:uiPriority w:val="9"/>
    <w:qFormat/>
    <w:rsid w:val="00B36E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UnresolvedMention1">
    <w:name w:val="Unresolved Mention1"/>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01641C"/>
    <w:rPr>
      <w:sz w:val="16"/>
      <w:szCs w:val="16"/>
    </w:rPr>
  </w:style>
  <w:style w:type="paragraph" w:styleId="Kommentartext">
    <w:name w:val="annotation text"/>
    <w:basedOn w:val="Standard"/>
    <w:link w:val="KommentartextZchn"/>
    <w:uiPriority w:val="99"/>
    <w:semiHidden/>
    <w:unhideWhenUsed/>
    <w:rsid w:val="000164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641C"/>
    <w:rPr>
      <w:sz w:val="20"/>
      <w:szCs w:val="20"/>
    </w:rPr>
  </w:style>
  <w:style w:type="paragraph" w:styleId="Kommentarthema">
    <w:name w:val="annotation subject"/>
    <w:basedOn w:val="Kommentartext"/>
    <w:next w:val="Kommentartext"/>
    <w:link w:val="KommentarthemaZchn"/>
    <w:uiPriority w:val="99"/>
    <w:semiHidden/>
    <w:unhideWhenUsed/>
    <w:rsid w:val="0001641C"/>
    <w:rPr>
      <w:b/>
      <w:bCs/>
    </w:rPr>
  </w:style>
  <w:style w:type="character" w:customStyle="1" w:styleId="KommentarthemaZchn">
    <w:name w:val="Kommentarthema Zchn"/>
    <w:basedOn w:val="KommentartextZchn"/>
    <w:link w:val="Kommentarthema"/>
    <w:uiPriority w:val="99"/>
    <w:semiHidden/>
    <w:rsid w:val="0001641C"/>
    <w:rPr>
      <w:b/>
      <w:bCs/>
      <w:sz w:val="20"/>
      <w:szCs w:val="20"/>
    </w:rPr>
  </w:style>
  <w:style w:type="paragraph" w:styleId="Listenabsatz">
    <w:name w:val="List Paragraph"/>
    <w:basedOn w:val="Standard"/>
    <w:uiPriority w:val="72"/>
    <w:qFormat/>
    <w:rsid w:val="0001641C"/>
    <w:pPr>
      <w:ind w:left="720"/>
      <w:contextualSpacing/>
    </w:pPr>
    <w:rPr>
      <w:rFonts w:eastAsiaTheme="minorHAnsi"/>
      <w:lang w:eastAsia="en-US"/>
    </w:rPr>
  </w:style>
  <w:style w:type="character" w:customStyle="1" w:styleId="authorname">
    <w:name w:val="authorname"/>
    <w:basedOn w:val="Absatz-Standardschriftart"/>
    <w:rsid w:val="005B1D20"/>
  </w:style>
  <w:style w:type="character" w:customStyle="1" w:styleId="separator">
    <w:name w:val="separator"/>
    <w:basedOn w:val="Absatz-Standardschriftart"/>
    <w:rsid w:val="005B1D20"/>
  </w:style>
  <w:style w:type="character" w:customStyle="1" w:styleId="Date1">
    <w:name w:val="Date1"/>
    <w:basedOn w:val="Absatz-Standardschriftart"/>
    <w:rsid w:val="005B1D20"/>
  </w:style>
  <w:style w:type="character" w:customStyle="1" w:styleId="arttitle">
    <w:name w:val="art_title"/>
    <w:basedOn w:val="Absatz-Standardschriftart"/>
    <w:rsid w:val="005B1D20"/>
  </w:style>
  <w:style w:type="character" w:customStyle="1" w:styleId="serialtitle">
    <w:name w:val="serial_title"/>
    <w:basedOn w:val="Absatz-Standardschriftart"/>
    <w:rsid w:val="005B1D20"/>
  </w:style>
  <w:style w:type="character" w:customStyle="1" w:styleId="volumeissue">
    <w:name w:val="volume_issue"/>
    <w:basedOn w:val="Absatz-Standardschriftart"/>
    <w:rsid w:val="005B1D20"/>
  </w:style>
  <w:style w:type="character" w:customStyle="1" w:styleId="doilink">
    <w:name w:val="doi_link"/>
    <w:basedOn w:val="Absatz-Standardschriftart"/>
    <w:rsid w:val="005B1D20"/>
  </w:style>
  <w:style w:type="paragraph" w:styleId="berarbeitung">
    <w:name w:val="Revision"/>
    <w:hidden/>
    <w:uiPriority w:val="99"/>
    <w:semiHidden/>
    <w:rsid w:val="00E7760F"/>
    <w:pPr>
      <w:spacing w:after="0" w:line="240" w:lineRule="auto"/>
    </w:pPr>
  </w:style>
  <w:style w:type="character" w:customStyle="1" w:styleId="berschrift1Zchn">
    <w:name w:val="Überschrift 1 Zchn"/>
    <w:basedOn w:val="Absatz-Standardschriftart"/>
    <w:link w:val="berschrift1"/>
    <w:uiPriority w:val="9"/>
    <w:rsid w:val="00B36EF2"/>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9C352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460501"/>
    <w:rPr>
      <w:color w:val="605E5C"/>
      <w:shd w:val="clear" w:color="auto" w:fill="E1DFDD"/>
    </w:rPr>
  </w:style>
  <w:style w:type="character" w:customStyle="1" w:styleId="UnresolvedMention2">
    <w:name w:val="Unresolved Mention2"/>
    <w:basedOn w:val="Absatz-Standardschriftart"/>
    <w:uiPriority w:val="99"/>
    <w:semiHidden/>
    <w:unhideWhenUsed/>
    <w:rsid w:val="00CA48EB"/>
    <w:rPr>
      <w:color w:val="605E5C"/>
      <w:shd w:val="clear" w:color="auto" w:fill="E1DFDD"/>
    </w:rPr>
  </w:style>
  <w:style w:type="character" w:styleId="NichtaufgelsteErwhnung">
    <w:name w:val="Unresolved Mention"/>
    <w:basedOn w:val="Absatz-Standardschriftart"/>
    <w:uiPriority w:val="99"/>
    <w:semiHidden/>
    <w:unhideWhenUsed/>
    <w:rsid w:val="00FC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67150">
      <w:bodyDiv w:val="1"/>
      <w:marLeft w:val="0"/>
      <w:marRight w:val="0"/>
      <w:marTop w:val="0"/>
      <w:marBottom w:val="0"/>
      <w:divBdr>
        <w:top w:val="none" w:sz="0" w:space="0" w:color="auto"/>
        <w:left w:val="none" w:sz="0" w:space="0" w:color="auto"/>
        <w:bottom w:val="none" w:sz="0" w:space="0" w:color="auto"/>
        <w:right w:val="none" w:sz="0" w:space="0" w:color="auto"/>
      </w:divBdr>
    </w:div>
    <w:div w:id="611985157">
      <w:bodyDiv w:val="1"/>
      <w:marLeft w:val="0"/>
      <w:marRight w:val="0"/>
      <w:marTop w:val="0"/>
      <w:marBottom w:val="0"/>
      <w:divBdr>
        <w:top w:val="none" w:sz="0" w:space="0" w:color="auto"/>
        <w:left w:val="none" w:sz="0" w:space="0" w:color="auto"/>
        <w:bottom w:val="none" w:sz="0" w:space="0" w:color="auto"/>
        <w:right w:val="none" w:sz="0" w:space="0" w:color="auto"/>
      </w:divBdr>
    </w:div>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034038298">
      <w:bodyDiv w:val="1"/>
      <w:marLeft w:val="0"/>
      <w:marRight w:val="0"/>
      <w:marTop w:val="0"/>
      <w:marBottom w:val="0"/>
      <w:divBdr>
        <w:top w:val="none" w:sz="0" w:space="0" w:color="auto"/>
        <w:left w:val="none" w:sz="0" w:space="0" w:color="auto"/>
        <w:bottom w:val="none" w:sz="0" w:space="0" w:color="auto"/>
        <w:right w:val="none" w:sz="0" w:space="0" w:color="auto"/>
      </w:divBdr>
    </w:div>
    <w:div w:id="1330451634">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893881207">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doi.org/10.1080/14735903.2024.2318933"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ystems-comparison.fib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lsa.kanner@fibl.org"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bc194256e6e148c1"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amritbir.riar@fib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ibl.org/de/infothek/medi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stems-comparison.fibl.org" TargetMode="External"/><Relationship Id="rId22"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e7e4d7-0631-4137-a451-c7cd24c98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6A99909BDFE489B3045C9067A1397" ma:contentTypeVersion="17" ma:contentTypeDescription="Create a new document." ma:contentTypeScope="" ma:versionID="96117e4c724f097ff89203d5f043dce3">
  <xsd:schema xmlns:xsd="http://www.w3.org/2001/XMLSchema" xmlns:xs="http://www.w3.org/2001/XMLSchema" xmlns:p="http://schemas.microsoft.com/office/2006/metadata/properties" xmlns:ns3="a1e7e4d7-0631-4137-a451-c7cd24c98d78" xmlns:ns4="92b19e43-4683-40c7-941b-d6d0d139492e" targetNamespace="http://schemas.microsoft.com/office/2006/metadata/properties" ma:root="true" ma:fieldsID="86cc3a5394ef3e52d68f66f2c2a58415" ns3:_="" ns4:_="">
    <xsd:import namespace="a1e7e4d7-0631-4137-a451-c7cd24c98d78"/>
    <xsd:import namespace="92b19e43-4683-40c7-941b-d6d0d13949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7e4d7-0631-4137-a451-c7cd24c98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19e43-4683-40c7-941b-d6d0d13949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29887D4F-4C5F-4AD5-B8AA-A459C5BF8FA2}">
  <ds:schemaRefs>
    <ds:schemaRef ds:uri="http://www.w3.org/XML/1998/namespace"/>
    <ds:schemaRef ds:uri="http://schemas.openxmlformats.org/package/2006/metadata/core-properties"/>
    <ds:schemaRef ds:uri="92b19e43-4683-40c7-941b-d6d0d139492e"/>
    <ds:schemaRef ds:uri="http://schemas.microsoft.com/office/infopath/2007/PartnerControls"/>
    <ds:schemaRef ds:uri="http://purl.org/dc/terms/"/>
    <ds:schemaRef ds:uri="http://purl.org/dc/elements/1.1/"/>
    <ds:schemaRef ds:uri="http://schemas.microsoft.com/office/2006/documentManagement/types"/>
    <ds:schemaRef ds:uri="a1e7e4d7-0631-4137-a451-c7cd24c98d7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203EA4C-78F9-4480-A2DC-F2DA96FDE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7e4d7-0631-4137-a451-c7cd24c98d78"/>
    <ds:schemaRef ds:uri="92b19e43-4683-40c7-941b-d6d0d1394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840F6-E406-4D5F-97BB-36B835B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779</Words>
  <Characters>5858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Biologischer Landbau in den Tropen: Ein Beitrag zur Sicherung lokaler Existenzgrundlagen</vt:lpstr>
      <vt:lpstr>Template for creating a media release (only for the communication group)</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Biologischer Landbau in den Tropen: Ein Beitrag zur Sicherung lokaler Existenzgrundlagen</dc:title>
  <dc:creator>FiBL</dc:creator>
  <cp:lastModifiedBy>Basler Andreas</cp:lastModifiedBy>
  <cp:revision>30</cp:revision>
  <cp:lastPrinted>2024-04-25T09:56:00Z</cp:lastPrinted>
  <dcterms:created xsi:type="dcterms:W3CDTF">2024-04-24T07:48:00Z</dcterms:created>
  <dcterms:modified xsi:type="dcterms:W3CDTF">2024-04-25T10:52:00Z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0x0101000FC6A99909BDFE489B3045C9067A1397</vt:lpwstr>
  </property>
  <property fmtid="{D5CDD505-2E9C-101B-9397-08002B2CF9AE}" pid="3" name="MediaServiceImageTags">
    <vt:lpwstr/>
  </property>
  <property fmtid="{D5CDD505-2E9C-101B-9397-08002B2CF9AE}" pid="4" name="GrammarlyDocumentId">
    <vt:lpwstr>657cc7ec1ca5c39900a3eb518014eeb4582ebf2f057722d4d09a24e7716c5122</vt:lpwstr>
  </property>
</Properties>
</file>