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46A279FE"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r w:rsidR="003E5C36">
        <w:t xml:space="preserve"> </w:t>
      </w:r>
    </w:p>
    <w:p w14:paraId="7D4A717D" w14:textId="227D93F9" w:rsidR="00DE44EA" w:rsidRDefault="00C460FE" w:rsidP="00DE44EA">
      <w:pPr>
        <w:pStyle w:val="FiBLmmtitel"/>
      </w:pPr>
      <w:r>
        <w:t>Eine Impfung für gesunde Äcker</w:t>
      </w:r>
      <w:r w:rsidR="003E5C36">
        <w:t xml:space="preserve"> </w:t>
      </w:r>
    </w:p>
    <w:p w14:paraId="5105F7FE" w14:textId="75740880" w:rsidR="00425269" w:rsidRPr="00190613" w:rsidRDefault="00190613" w:rsidP="00C460FE">
      <w:pPr>
        <w:pStyle w:val="FiBLmmlead"/>
      </w:pPr>
      <w:r w:rsidRPr="006A5602">
        <w:t xml:space="preserve">Ackerböden beherbergen oft </w:t>
      </w:r>
      <w:r>
        <w:t>viele</w:t>
      </w:r>
      <w:r w:rsidRPr="006A5602">
        <w:t xml:space="preserve"> Krankheitserreger, die Pflanzen befallen und Erträge mindern. Ein Schweizer Forschungsteam</w:t>
      </w:r>
      <w:r>
        <w:t xml:space="preserve"> mit FiBL Beteiligung</w:t>
      </w:r>
      <w:r w:rsidRPr="006A5602">
        <w:t xml:space="preserve"> hat nun gezeigt, dass eine Impfung des Bodens mit Mykorrhiza</w:t>
      </w:r>
      <w:r>
        <w:t>-P</w:t>
      </w:r>
      <w:r w:rsidRPr="006A5602">
        <w:t>ilzen helfen kann, den Ertrag ohne zusätzliche Düngung und Pflanzenschutzmittel zu halten</w:t>
      </w:r>
      <w:r>
        <w:t xml:space="preserve"> oder gar zu verbessern</w:t>
      </w:r>
      <w:r w:rsidRPr="006A5602">
        <w:t xml:space="preserve">. In </w:t>
      </w:r>
      <w:r>
        <w:t xml:space="preserve">einem gross angelegten </w:t>
      </w:r>
      <w:r w:rsidRPr="006A5602">
        <w:t xml:space="preserve">Freilandversuch </w:t>
      </w:r>
      <w:r>
        <w:t>konnte die Ernte um</w:t>
      </w:r>
      <w:r w:rsidRPr="006A5602">
        <w:t xml:space="preserve"> bis zu 40 Prozent</w:t>
      </w:r>
      <w:r>
        <w:t xml:space="preserve"> gesteigert werden</w:t>
      </w:r>
      <w:r w:rsidRPr="006A5602">
        <w:t>.</w:t>
      </w:r>
    </w:p>
    <w:p w14:paraId="578FEFA4" w14:textId="4474150A" w:rsidR="00425269" w:rsidRDefault="00C460FE" w:rsidP="002C0734">
      <w:pPr>
        <w:pStyle w:val="FiBLmmstandard"/>
        <w:jc w:val="center"/>
      </w:pPr>
      <w:r>
        <w:rPr>
          <w:noProof/>
          <w:lang w:val="en-US"/>
        </w:rPr>
        <w:drawing>
          <wp:inline distT="0" distB="0" distL="0" distR="0" wp14:anchorId="6D3C1695" wp14:editId="7AF74BA2">
            <wp:extent cx="5209968" cy="390747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screen">
                      <a:extLst>
                        <a:ext uri="{28A0092B-C50C-407E-A947-70E740481C1C}">
                          <a14:useLocalDpi xmlns:a14="http://schemas.microsoft.com/office/drawing/2010/main"/>
                        </a:ext>
                      </a:extLst>
                    </a:blip>
                    <a:stretch>
                      <a:fillRect/>
                    </a:stretch>
                  </pic:blipFill>
                  <pic:spPr bwMode="auto">
                    <a:xfrm>
                      <a:off x="0" y="0"/>
                      <a:ext cx="5209968" cy="3907476"/>
                    </a:xfrm>
                    <a:prstGeom prst="rect">
                      <a:avLst/>
                    </a:prstGeom>
                    <a:noFill/>
                    <a:ln>
                      <a:noFill/>
                    </a:ln>
                    <a:extLst>
                      <a:ext uri="{53640926-AAD7-44D8-BBD7-CCE9431645EC}">
                        <a14:shadowObscured xmlns:a14="http://schemas.microsoft.com/office/drawing/2010/main"/>
                      </a:ext>
                    </a:extLst>
                  </pic:spPr>
                </pic:pic>
              </a:graphicData>
            </a:graphic>
          </wp:inline>
        </w:drawing>
      </w:r>
    </w:p>
    <w:p w14:paraId="3457EF4F" w14:textId="5D7FD470" w:rsidR="0086502B" w:rsidRPr="002C0734" w:rsidRDefault="00C16AE0" w:rsidP="002B1E94">
      <w:pPr>
        <w:pStyle w:val="FiBLmmfusszeile"/>
        <w:rPr>
          <w:i/>
        </w:rPr>
      </w:pPr>
      <w:r w:rsidRPr="00C16AE0">
        <w:rPr>
          <w:i/>
        </w:rPr>
        <w:t xml:space="preserve">Forscherinnen bereiten die Ernte der Maispflanzen aus dem Mykorrhiza-Feldversuch vor. </w:t>
      </w:r>
      <w:r w:rsidR="000C1AD0">
        <w:rPr>
          <w:i/>
        </w:rPr>
        <w:br/>
      </w:r>
      <w:r w:rsidR="00CA19C5">
        <w:rPr>
          <w:i/>
        </w:rPr>
        <w:t>(</w:t>
      </w:r>
      <w:r w:rsidR="002B1E94" w:rsidRPr="002C0734">
        <w:rPr>
          <w:i/>
        </w:rPr>
        <w:t>Foto: FiBL, Natacha Bodenhausen</w:t>
      </w:r>
      <w:r w:rsidR="00CA19C5">
        <w:rPr>
          <w:i/>
        </w:rPr>
        <w:t>)</w:t>
      </w:r>
    </w:p>
    <w:p w14:paraId="32540ABE" w14:textId="77777777" w:rsidR="002C0734" w:rsidRDefault="002C0734" w:rsidP="002B1E94">
      <w:pPr>
        <w:pStyle w:val="FiBLmmfusszeile"/>
      </w:pPr>
    </w:p>
    <w:p w14:paraId="33C5193F" w14:textId="77777777" w:rsidR="002B1E94" w:rsidRDefault="002B1E94" w:rsidP="002B1E94">
      <w:pPr>
        <w:pStyle w:val="FiBLmmfusszeile"/>
      </w:pPr>
    </w:p>
    <w:p w14:paraId="1CE66340" w14:textId="3247025A" w:rsidR="00190613" w:rsidRDefault="00315844" w:rsidP="00190613">
      <w:pPr>
        <w:pStyle w:val="FiBLmmstandard"/>
      </w:pPr>
      <w:r>
        <w:t>(</w:t>
      </w:r>
      <w:r w:rsidR="009C105C">
        <w:t>Frick</w:t>
      </w:r>
      <w:r w:rsidR="00FA4DFB">
        <w:t>, 30</w:t>
      </w:r>
      <w:r>
        <w:t xml:space="preserve">.11.2023) </w:t>
      </w:r>
      <w:r w:rsidR="00190613">
        <w:t>Intensiver Einsatz von Dünger und Pflanzenschutzmitteln auf unseren Äckern verringert die Biodiversität und belastet die Umwelt. Daher besteht ein grosses Interesse an nachhaltigen Möglichkeiten zur Ertragssicherung ohne Einsatz von Agrarchemikalien. Ein Beispiel von alternativen Biologicals sind Mykorrhiza-Pilze, welche als Nützlinge die Pflanzen bei der Nährstoffaufnahme unterstützen.</w:t>
      </w:r>
    </w:p>
    <w:p w14:paraId="6AD898F5" w14:textId="77777777" w:rsidR="00190613" w:rsidRDefault="00190613" w:rsidP="00190613">
      <w:pPr>
        <w:pStyle w:val="FiBLmmzwischentitel"/>
      </w:pPr>
      <w:r>
        <w:lastRenderedPageBreak/>
        <w:t>Eine Ertragsverbesserung um bis zu 40 Prozent</w:t>
      </w:r>
    </w:p>
    <w:p w14:paraId="1270E4DF" w14:textId="1D5242E4" w:rsidR="00190613" w:rsidRDefault="00190613" w:rsidP="00190613">
      <w:pPr>
        <w:pStyle w:val="FiBLmmstandard"/>
      </w:pPr>
      <w:r>
        <w:t xml:space="preserve">Ein Team von Forschenden der Universitäten Zürich und Basel, von Agroscope sowie dem Forschungsinstitut für biologischen Landbau FiBL hat nun erstmals grossflächig gezeigt, dass das Ausbringen von Mykorrhiza-Pilzen im Feld tatsächlich funktioniert. Auf 800 Versuchsflächen, beziehungsweise 54 Maisfeldern in der Nord- und Ostschweiz wurden die Pilze vor der Aussaat in den Boden eingearbeitet. «Die Mykorrhiza-Pilze ermöglichten auf einem Viertel der Äcker einen bis zu 40 Prozent besseren Ertrag. Das ist enorm», sagt der Co-Studienleiter Marcel van der </w:t>
      </w:r>
      <w:proofErr w:type="spellStart"/>
      <w:r>
        <w:t>Heijden</w:t>
      </w:r>
      <w:proofErr w:type="spellEnd"/>
      <w:r>
        <w:t>, Bodenökologe an der Universität Zürich und Agroscope. Die Sache hat allerdings einen Haken: Auf einem Drittel der Äcker gab es keine Ertragssteigerung oder sogar einen Ertragsrückgang. Das konnte sich das Team zunächst nicht erklären.</w:t>
      </w:r>
    </w:p>
    <w:p w14:paraId="40B34972" w14:textId="77777777" w:rsidR="00190613" w:rsidRDefault="00190613" w:rsidP="00F43021">
      <w:pPr>
        <w:pStyle w:val="FiBLmmzwischentitel"/>
      </w:pPr>
      <w:r>
        <w:t>Krankheitserreger im Boden</w:t>
      </w:r>
    </w:p>
    <w:p w14:paraId="39157D8C" w14:textId="0BD58C62" w:rsidR="00190613" w:rsidRDefault="00190613" w:rsidP="00190613">
      <w:pPr>
        <w:pStyle w:val="FiBLmmstandard"/>
      </w:pPr>
      <w:r>
        <w:t>Auf der Suche nach der Ursache analysierten die Forschenden eine Vielzahl chemischer, physikalischer und biologischer Bodeneigenschaften, darunter auch die Artenvielfalt der Bodenmikroben. «Wir haben herausgefunden, dass die Impfung vor allem dann gut funktioniert, wenn viele pilzliche Krankheitserreger im Boden vorhanden sind», sagt Co-Erstautorin Stefanie Lutz von Agroscope, dem Kompetenzzentrum des Bundes für Forschung in der Land- und Ernährungswirtschaft. «Die Mykorrhiza-Pilze wirken wie eine Art Schutzschild bei Krankheitserregern im Boden, welche die Pflanzen schwächen würden.» In der Folge bleibt der normal hohe Ertrag erhalten, während ohne Mykorrhiza-Pilze Ernteverlusten anfallen würden. Auf Äckern, die nicht mit Krankheitskeimen belastet sind, haben Mykorrhiza-Pilze dagegen nur einen geringen Effekt. «Dort sind die Pflanzen ohnehin schon stark und wachsen hervorragend. Das Ausbringen von Mykorrhiza bringt hier keinen zusätzlichen Nutzen», sagt Natacha Bodenhausen vom FiBL, ebenfalls Erstautorin.</w:t>
      </w:r>
    </w:p>
    <w:p w14:paraId="6A1B1B59" w14:textId="77777777" w:rsidR="00190613" w:rsidRDefault="00190613" w:rsidP="00F43021">
      <w:pPr>
        <w:pStyle w:val="FiBLmmzwischentitel"/>
      </w:pPr>
      <w:r>
        <w:t>Impferfolg ist vorhersagbar</w:t>
      </w:r>
    </w:p>
    <w:p w14:paraId="5326B085" w14:textId="297B0CA2" w:rsidR="00190613" w:rsidRDefault="00190613" w:rsidP="00190613">
      <w:pPr>
        <w:pStyle w:val="FiBLmmstandard"/>
      </w:pPr>
      <w:r>
        <w:t xml:space="preserve">Ziel der von der «Gebert </w:t>
      </w:r>
      <w:proofErr w:type="spellStart"/>
      <w:r>
        <w:t>Rüf</w:t>
      </w:r>
      <w:proofErr w:type="spellEnd"/>
      <w:r>
        <w:t xml:space="preserve"> Stiftung» finanzierten Studie war es, vorhersagen zu können, unter welchen Bedingungen eine Mykorrhiza-Impfungen funktioniert. «Mit wenigen Bodenindikatoren – hauptsächlich Bodenpilzen – konnten wir den Erfolg einer Impfung in 9 von 10 Feldern prognostizieren – und damit auch bereits vor der Feldsaison den Ernteertrag», sagt der Co-Studienleiter Klaus </w:t>
      </w:r>
      <w:proofErr w:type="spellStart"/>
      <w:r>
        <w:t>Schläppi</w:t>
      </w:r>
      <w:proofErr w:type="spellEnd"/>
      <w:r>
        <w:t xml:space="preserve"> von der Universität Basel. «Diese Vorhersagbarkeit </w:t>
      </w:r>
      <w:proofErr w:type="gramStart"/>
      <w:r>
        <w:t>erlaubt es</w:t>
      </w:r>
      <w:proofErr w:type="gramEnd"/>
      <w:r>
        <w:t xml:space="preserve">, die Pilze dann gezielt in Äckern einzusetzen, wo diese auch funktionieren. Das wird entscheidend sein, damit sich diese Technologie zu einer zuverlässigen landwirtschaftlichen Methode entwickeln kann», so </w:t>
      </w:r>
      <w:proofErr w:type="spellStart"/>
      <w:r>
        <w:t>Schläppi</w:t>
      </w:r>
      <w:proofErr w:type="spellEnd"/>
      <w:r>
        <w:t xml:space="preserve">. </w:t>
      </w:r>
    </w:p>
    <w:p w14:paraId="5A1F9D21" w14:textId="4E364450" w:rsidR="00425269" w:rsidRDefault="00190613" w:rsidP="00190613">
      <w:pPr>
        <w:pStyle w:val="FiBLmmstandard"/>
      </w:pPr>
      <w:r>
        <w:t xml:space="preserve">Noch sind weitere Forschungen dazu nötig, wie sich die Pilze am einfachsten grossflächig ausbringen lassen. «Die Ergebnisse dieses Feldversuches sind aber schon </w:t>
      </w:r>
      <w:r>
        <w:lastRenderedPageBreak/>
        <w:t xml:space="preserve">jetzt ein grosser Schritt in Richtung einer nachhaltigeren Landwirtschaft», erklärt Marcel van der </w:t>
      </w:r>
      <w:proofErr w:type="spellStart"/>
      <w:r>
        <w:t>Heijden</w:t>
      </w:r>
      <w:proofErr w:type="spellEnd"/>
      <w:r w:rsidR="00F43021">
        <w:t>.</w:t>
      </w:r>
    </w:p>
    <w:p w14:paraId="7D4A7186" w14:textId="7C4DC98A" w:rsidR="00CD4B01" w:rsidRPr="00450FA1" w:rsidRDefault="00CD4B01" w:rsidP="00661678">
      <w:pPr>
        <w:pStyle w:val="FiBLmmzusatzinfo"/>
        <w:rPr>
          <w:lang w:val="it-CH"/>
        </w:rPr>
      </w:pPr>
      <w:proofErr w:type="spellStart"/>
      <w:r w:rsidRPr="00450FA1">
        <w:rPr>
          <w:lang w:val="it-CH"/>
        </w:rPr>
        <w:t>Kontakte</w:t>
      </w:r>
      <w:proofErr w:type="spellEnd"/>
    </w:p>
    <w:p w14:paraId="7D4A7187" w14:textId="20FE7092" w:rsidR="003C6406" w:rsidRDefault="00A725E8" w:rsidP="00866E96">
      <w:pPr>
        <w:pStyle w:val="FiBLmmaufzhlungszeichen"/>
      </w:pPr>
      <w:r w:rsidRPr="008737D2">
        <w:t>Natacha Bodenhausen</w:t>
      </w:r>
      <w:r w:rsidR="003C6406" w:rsidRPr="008737D2">
        <w:t xml:space="preserve">, </w:t>
      </w:r>
      <w:r w:rsidRPr="008737D2">
        <w:t>Departement für Bodenwissenschaften FiBL Schweiz</w:t>
      </w:r>
      <w:r w:rsidR="003C4537" w:rsidRPr="008737D2">
        <w:br/>
      </w:r>
      <w:r w:rsidR="0001151E" w:rsidRPr="008737D2">
        <w:t>Tel</w:t>
      </w:r>
      <w:r w:rsidR="002B13E3">
        <w:t>.</w:t>
      </w:r>
      <w:r w:rsidR="00866E96" w:rsidRPr="008737D2">
        <w:t xml:space="preserve"> +41 </w:t>
      </w:r>
      <w:r w:rsidRPr="008737D2">
        <w:t>62 865 72 99</w:t>
      </w:r>
      <w:r w:rsidR="00866E96" w:rsidRPr="008737D2">
        <w:t xml:space="preserve">, </w:t>
      </w:r>
      <w:r w:rsidR="009F3D54" w:rsidRPr="008737D2">
        <w:t xml:space="preserve">E-Mail </w:t>
      </w:r>
      <w:hyperlink r:id="rId14" w:history="1">
        <w:r w:rsidR="00F43021" w:rsidRPr="00125E7E">
          <w:rPr>
            <w:rStyle w:val="Hyperlink"/>
          </w:rPr>
          <w:t>natacha.bodenhausen@fibl.org</w:t>
        </w:r>
      </w:hyperlink>
    </w:p>
    <w:p w14:paraId="6A23EB2C" w14:textId="56458CBA" w:rsidR="008737D2" w:rsidRPr="007655B9" w:rsidRDefault="00A725E8" w:rsidP="00F43021">
      <w:pPr>
        <w:pStyle w:val="FiBLmmaufzhlungszeichen"/>
      </w:pPr>
      <w:r w:rsidRPr="008737D2">
        <w:rPr>
          <w:lang w:val="en-US"/>
        </w:rPr>
        <w:t xml:space="preserve">Stefanie Lutz, Agroecology and Environment am </w:t>
      </w:r>
      <w:proofErr w:type="spellStart"/>
      <w:r w:rsidRPr="008737D2">
        <w:rPr>
          <w:lang w:val="en-US"/>
        </w:rPr>
        <w:t>Agroscope</w:t>
      </w:r>
      <w:proofErr w:type="spellEnd"/>
      <w:r w:rsidR="00C74EC0" w:rsidRPr="008737D2">
        <w:rPr>
          <w:lang w:val="en-US"/>
        </w:rPr>
        <w:t xml:space="preserve"> </w:t>
      </w:r>
      <w:r w:rsidR="00F43021">
        <w:rPr>
          <w:lang w:val="en-US"/>
        </w:rPr>
        <w:br/>
      </w:r>
      <w:r w:rsidR="008737D2" w:rsidRPr="008737D2">
        <w:rPr>
          <w:rFonts w:cs="Helvetica"/>
          <w:shd w:val="clear" w:color="auto" w:fill="FFFFFF"/>
          <w:lang w:val="en-US"/>
        </w:rPr>
        <w:t xml:space="preserve">Tel. </w:t>
      </w:r>
      <w:r w:rsidR="008737D2" w:rsidRPr="008737D2">
        <w:rPr>
          <w:rFonts w:cs="Helvetica"/>
          <w:shd w:val="clear" w:color="auto" w:fill="FFFFFF"/>
        </w:rPr>
        <w:t>+41 58 480 07 44</w:t>
      </w:r>
      <w:r w:rsidR="008737D2" w:rsidRPr="008737D2">
        <w:rPr>
          <w:rFonts w:cs="Helvetica"/>
        </w:rPr>
        <w:t xml:space="preserve">, E-Mail </w:t>
      </w:r>
      <w:hyperlink r:id="rId15" w:history="1">
        <w:r w:rsidR="00F43021" w:rsidRPr="00125E7E">
          <w:rPr>
            <w:rStyle w:val="Hyperlink"/>
            <w:rFonts w:cs="Helvetica"/>
            <w:shd w:val="clear" w:color="auto" w:fill="FFFFFF"/>
          </w:rPr>
          <w:t>stefanie.lutz@agroscope.admin.ch</w:t>
        </w:r>
      </w:hyperlink>
    </w:p>
    <w:p w14:paraId="5763F982" w14:textId="77777777" w:rsidR="00041871" w:rsidRDefault="00041871" w:rsidP="00041871">
      <w:pPr>
        <w:pStyle w:val="FiBLmmzusatzinfo"/>
      </w:pPr>
      <w:r>
        <w:t>Förderer und Gönner</w:t>
      </w:r>
    </w:p>
    <w:p w14:paraId="3167CF29" w14:textId="73B82775" w:rsidR="00041871" w:rsidRDefault="00041871" w:rsidP="00041871">
      <w:pPr>
        <w:pStyle w:val="FiBLmmaufzhlungszeichen"/>
      </w:pPr>
      <w:r>
        <w:t xml:space="preserve">Gebert </w:t>
      </w:r>
      <w:proofErr w:type="spellStart"/>
      <w:r>
        <w:t>Rüf</w:t>
      </w:r>
      <w:proofErr w:type="spellEnd"/>
      <w:r>
        <w:t xml:space="preserve"> Stiftung</w:t>
      </w:r>
    </w:p>
    <w:p w14:paraId="7683370D" w14:textId="77777777" w:rsidR="00041871" w:rsidRDefault="00041871" w:rsidP="00041871">
      <w:pPr>
        <w:pStyle w:val="FiBLmmzusatzinfo"/>
      </w:pPr>
      <w:r>
        <w:t>Partner</w:t>
      </w:r>
    </w:p>
    <w:p w14:paraId="22E3E1CA" w14:textId="63E2BA54" w:rsidR="00041871" w:rsidRDefault="00041871" w:rsidP="00041871">
      <w:pPr>
        <w:pStyle w:val="FiBLmmaufzhlungszeichen"/>
      </w:pPr>
      <w:r>
        <w:t>Universität Basel</w:t>
      </w:r>
    </w:p>
    <w:p w14:paraId="1B59C3CC" w14:textId="528D14DD" w:rsidR="00041871" w:rsidRDefault="00041871" w:rsidP="00041871">
      <w:pPr>
        <w:pStyle w:val="FiBLmmaufzhlungszeichen"/>
      </w:pPr>
      <w:r>
        <w:t>Universität Zürich</w:t>
      </w:r>
    </w:p>
    <w:p w14:paraId="5DB9328A" w14:textId="350307EF" w:rsidR="00041871" w:rsidRDefault="00041871" w:rsidP="00041871">
      <w:pPr>
        <w:pStyle w:val="FiBLmmaufzhlungszeichen"/>
      </w:pPr>
      <w:r>
        <w:t>Agroscope</w:t>
      </w:r>
    </w:p>
    <w:p w14:paraId="0EC7EE9D" w14:textId="77777777" w:rsidR="00041871" w:rsidRDefault="00041871" w:rsidP="00041871">
      <w:pPr>
        <w:pStyle w:val="FiBLmmzusatzinfo"/>
      </w:pPr>
      <w:r>
        <w:t>Video</w:t>
      </w:r>
    </w:p>
    <w:p w14:paraId="2DACFF83" w14:textId="02BE4B7F" w:rsidR="007655B9" w:rsidRPr="00041871" w:rsidRDefault="00041871" w:rsidP="00041871">
      <w:pPr>
        <w:pStyle w:val="FiBLmmaufzhlungszeichen"/>
        <w:rPr>
          <w:lang w:val="en-GB"/>
        </w:rPr>
      </w:pPr>
      <w:r>
        <w:rPr>
          <w:lang w:val="en-GB"/>
        </w:rPr>
        <w:t xml:space="preserve">youtube.com: </w:t>
      </w:r>
      <w:hyperlink r:id="rId16" w:history="1">
        <w:r w:rsidRPr="00041871">
          <w:rPr>
            <w:rStyle w:val="Hyperlink"/>
            <w:lang w:val="en-GB"/>
          </w:rPr>
          <w:t>Video «Impact Clip: Microbiome diagnostics for sustainable agriculture»</w:t>
        </w:r>
      </w:hyperlink>
      <w:r w:rsidRPr="00041871">
        <w:rPr>
          <w:lang w:val="en-GB"/>
        </w:rPr>
        <w:t xml:space="preserve"> </w:t>
      </w:r>
    </w:p>
    <w:p w14:paraId="62B28515" w14:textId="77777777" w:rsidR="00315844" w:rsidRPr="00315844" w:rsidRDefault="00315844" w:rsidP="00315844">
      <w:pPr>
        <w:pStyle w:val="FiBLmmzusatzinfo"/>
        <w:rPr>
          <w:lang w:val="en-GB"/>
        </w:rPr>
      </w:pPr>
      <w:proofErr w:type="spellStart"/>
      <w:r w:rsidRPr="00315844">
        <w:rPr>
          <w:lang w:val="en-GB"/>
        </w:rPr>
        <w:t>Literatur</w:t>
      </w:r>
      <w:proofErr w:type="spellEnd"/>
    </w:p>
    <w:p w14:paraId="005547DC" w14:textId="622E7BBF" w:rsidR="00315844" w:rsidRPr="005E37E2" w:rsidRDefault="00315844" w:rsidP="00315844">
      <w:pPr>
        <w:pStyle w:val="FiBLmmliteratur"/>
      </w:pPr>
      <w:r w:rsidRPr="00315844">
        <w:rPr>
          <w:lang w:val="en-GB"/>
        </w:rPr>
        <w:t>Stefanie Lutz</w:t>
      </w:r>
      <w:r w:rsidR="0085041E">
        <w:rPr>
          <w:lang w:val="en-GB"/>
        </w:rPr>
        <w:t xml:space="preserve">, Natacha Bodenhausen </w:t>
      </w:r>
      <w:bookmarkStart w:id="0" w:name="_GoBack"/>
      <w:bookmarkEnd w:id="0"/>
      <w:r w:rsidRPr="00315844">
        <w:rPr>
          <w:lang w:val="en-GB"/>
        </w:rPr>
        <w:t xml:space="preserve">et al. Soil microbiome indicators can predict crop growth response to large-scale inoculation with arbuscular mycorrhizal fungi. </w:t>
      </w:r>
      <w:r w:rsidRPr="005E37E2">
        <w:t xml:space="preserve">Nature </w:t>
      </w:r>
      <w:proofErr w:type="spellStart"/>
      <w:r w:rsidRPr="005E37E2">
        <w:t>Microbiology</w:t>
      </w:r>
      <w:proofErr w:type="spellEnd"/>
      <w:r w:rsidRPr="005E37E2">
        <w:t>, 29 November 2023. DOI:10.1038/s41564-023-01520-w</w:t>
      </w:r>
      <w:r w:rsidRPr="005E37E2">
        <w:br/>
      </w:r>
      <w:hyperlink r:id="rId17" w:history="1">
        <w:r w:rsidRPr="005E37E2">
          <w:rPr>
            <w:rStyle w:val="Hyperlink"/>
          </w:rPr>
          <w:t>https://www.nature.com/articles/s41564-023-01520-w</w:t>
        </w:r>
      </w:hyperlink>
    </w:p>
    <w:p w14:paraId="7D4A7190" w14:textId="77777777" w:rsidR="002A7256" w:rsidRDefault="002A7256" w:rsidP="002A7256">
      <w:pPr>
        <w:pStyle w:val="FiBLmmzusatzinfo"/>
      </w:pPr>
      <w:r>
        <w:t>Diese Medienmitteilung im Internet</w:t>
      </w:r>
    </w:p>
    <w:p w14:paraId="7D4A7191" w14:textId="633765FA" w:rsidR="00E73E54" w:rsidRDefault="007C691F" w:rsidP="007C691F">
      <w:pPr>
        <w:pStyle w:val="FiBLmmstandard"/>
      </w:pPr>
      <w:r>
        <w:t xml:space="preserve">Sie finden diese Medienmitteilung einschliesslich Bilder im Internet unter </w:t>
      </w:r>
      <w:hyperlink r:id="rId18" w:history="1">
        <w:r w:rsidR="00B83FDA">
          <w:rPr>
            <w:rStyle w:val="Hyperlink"/>
          </w:rPr>
          <w:t>www.fibl.org/de/infothek/medien.html</w:t>
        </w:r>
      </w:hyperlink>
      <w:r w:rsidR="004B6C83">
        <w:t>.</w:t>
      </w:r>
    </w:p>
    <w:p w14:paraId="5F501B82" w14:textId="77777777" w:rsidR="00E73E54" w:rsidRDefault="00E73E54">
      <w:pPr>
        <w:rPr>
          <w:rFonts w:ascii="Palatino Linotype" w:hAnsi="Palatino Linotype"/>
        </w:rPr>
      </w:pPr>
      <w:r>
        <w:br w:type="page"/>
      </w:r>
    </w:p>
    <w:p w14:paraId="7D4A7192" w14:textId="77777777" w:rsidR="002C0814" w:rsidRPr="00A04F66" w:rsidRDefault="002C0814" w:rsidP="00A17E51">
      <w:pPr>
        <w:pStyle w:val="FiBLmmerluterungtitel"/>
      </w:pPr>
      <w:r w:rsidRPr="00A17E51">
        <w:lastRenderedPageBreak/>
        <w:t>Über</w:t>
      </w:r>
      <w:r w:rsidRPr="00A04F66">
        <w:t xml:space="preserve"> das FiBL</w:t>
      </w:r>
    </w:p>
    <w:p w14:paraId="7D4A7195" w14:textId="1B799F18" w:rsidR="004730C6" w:rsidRPr="00450FA1"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verschiedenen Standorten sind rund </w:t>
      </w:r>
      <w:r w:rsidR="1B799F18" w:rsidRPr="00DB7736">
        <w:t>40</w:t>
      </w:r>
      <w:r w:rsidR="009F3D54">
        <w:t>0</w:t>
      </w:r>
      <w:r w:rsidRPr="00DB7736">
        <w:t xml:space="preserve"> Mitarbeitende tätig. </w:t>
      </w:r>
      <w:hyperlink r:id="rId19" w:history="1">
        <w:r w:rsidR="005B07DB">
          <w:rPr>
            <w:rStyle w:val="Hyperlink"/>
          </w:rPr>
          <w:t>www.fibl.org</w:t>
        </w:r>
      </w:hyperlink>
    </w:p>
    <w:sectPr w:rsidR="004730C6" w:rsidRPr="00450FA1" w:rsidSect="001B31D5">
      <w:footerReference w:type="default" r:id="rId20"/>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5DDA2" w14:textId="77777777" w:rsidR="009C3A30" w:rsidRDefault="009C3A30" w:rsidP="00F53AA9">
      <w:pPr>
        <w:spacing w:after="0" w:line="240" w:lineRule="auto"/>
      </w:pPr>
      <w:r>
        <w:separator/>
      </w:r>
    </w:p>
  </w:endnote>
  <w:endnote w:type="continuationSeparator" w:id="0">
    <w:p w14:paraId="69DA6858" w14:textId="77777777" w:rsidR="009C3A30" w:rsidRDefault="009C3A30"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641C3140" w:rsidR="00DA14CE" w:rsidRPr="001926E1" w:rsidRDefault="00DA14CE" w:rsidP="001926E1">
          <w:pPr>
            <w:pStyle w:val="FiBLmmfusszeile"/>
          </w:pPr>
          <w:r>
            <w:t>Medienmit</w:t>
          </w:r>
          <w:r w:rsidRPr="005B46D9">
            <w:t xml:space="preserve">teilung vom </w:t>
          </w:r>
          <w:r w:rsidR="005B46D9" w:rsidRPr="005B46D9">
            <w:t>30.11.2023</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12F3D" w14:textId="77777777" w:rsidR="009C3A30" w:rsidRDefault="009C3A30" w:rsidP="00F53AA9">
      <w:pPr>
        <w:spacing w:after="0" w:line="240" w:lineRule="auto"/>
      </w:pPr>
      <w:r>
        <w:separator/>
      </w:r>
    </w:p>
  </w:footnote>
  <w:footnote w:type="continuationSeparator" w:id="0">
    <w:p w14:paraId="5AD037BE" w14:textId="77777777" w:rsidR="009C3A30" w:rsidRDefault="009C3A30"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53C1B5E"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3A2EA8B5" w:rsidR="007666E3" w:rsidRDefault="007666E3" w:rsidP="007666E3">
          <w:pPr>
            <w:tabs>
              <w:tab w:val="right" w:pos="7653"/>
            </w:tabs>
          </w:pPr>
        </w:p>
      </w:tc>
      <w:tc>
        <w:tcPr>
          <w:tcW w:w="2268" w:type="dxa"/>
        </w:tcPr>
        <w:p w14:paraId="7D4A719D" w14:textId="7FD29EFA" w:rsidR="007666E3" w:rsidRDefault="00C74EC0" w:rsidP="00A033E7">
          <w:pPr>
            <w:tabs>
              <w:tab w:val="right" w:pos="7653"/>
            </w:tabs>
            <w:jc w:val="right"/>
          </w:pPr>
          <w:r>
            <w:rPr>
              <w:noProof/>
            </w:rPr>
            <w:drawing>
              <wp:anchor distT="0" distB="0" distL="114300" distR="114300" simplePos="0" relativeHeight="251659264" behindDoc="0" locked="0" layoutInCell="1" allowOverlap="1" wp14:anchorId="7EF1B5E6" wp14:editId="282CD53B">
                <wp:simplePos x="0" y="0"/>
                <wp:positionH relativeFrom="column">
                  <wp:posOffset>1164590</wp:posOffset>
                </wp:positionH>
                <wp:positionV relativeFrom="paragraph">
                  <wp:posOffset>54874</wp:posOffset>
                </wp:positionV>
                <wp:extent cx="1641475" cy="29146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641475" cy="291465"/>
                        </a:xfrm>
                        <a:prstGeom prst="rect">
                          <a:avLst/>
                        </a:prstGeom>
                      </pic:spPr>
                    </pic:pic>
                  </a:graphicData>
                </a:graphic>
                <wp14:sizeRelH relativeFrom="margin">
                  <wp14:pctWidth>0</wp14:pctWidth>
                </wp14:sizeRelH>
                <wp14:sizeRelV relativeFrom="margin">
                  <wp14:pctHeight>0</wp14:pctHeight>
                </wp14:sizeRelV>
              </wp:anchor>
            </w:drawing>
          </w:r>
        </w:p>
      </w:tc>
    </w:tr>
  </w:tbl>
  <w:p w14:paraId="7D4A719F" w14:textId="4A173739" w:rsidR="00540DAE" w:rsidRDefault="00AF06CA" w:rsidP="00E71FBF">
    <w:pPr>
      <w:tabs>
        <w:tab w:val="right" w:pos="7653"/>
      </w:tabs>
    </w:pPr>
    <w:r>
      <w:rPr>
        <w:noProof/>
      </w:rPr>
      <w:drawing>
        <wp:anchor distT="0" distB="0" distL="114300" distR="114300" simplePos="0" relativeHeight="251658240" behindDoc="0" locked="0" layoutInCell="1" allowOverlap="1" wp14:anchorId="66DC5BDE" wp14:editId="23CAD927">
          <wp:simplePos x="0" y="0"/>
          <wp:positionH relativeFrom="column">
            <wp:posOffset>2659380</wp:posOffset>
          </wp:positionH>
          <wp:positionV relativeFrom="paragraph">
            <wp:posOffset>-539750</wp:posOffset>
          </wp:positionV>
          <wp:extent cx="1623695" cy="70675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23695" cy="706755"/>
                  </a:xfrm>
                  <a:prstGeom prst="rect">
                    <a:avLst/>
                  </a:prstGeom>
                </pic:spPr>
              </pic:pic>
            </a:graphicData>
          </a:graphic>
        </wp:anchor>
      </w:drawing>
    </w:r>
    <w:r>
      <w:rPr>
        <w:noProof/>
      </w:rPr>
      <w:drawing>
        <wp:anchor distT="0" distB="0" distL="114300" distR="114300" simplePos="0" relativeHeight="251660288" behindDoc="0" locked="0" layoutInCell="1" allowOverlap="1" wp14:anchorId="18649E9D" wp14:editId="77AE5ECB">
          <wp:simplePos x="0" y="0"/>
          <wp:positionH relativeFrom="column">
            <wp:posOffset>1062355</wp:posOffset>
          </wp:positionH>
          <wp:positionV relativeFrom="paragraph">
            <wp:posOffset>-434975</wp:posOffset>
          </wp:positionV>
          <wp:extent cx="1376680" cy="43942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6680" cy="439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634D1"/>
    <w:multiLevelType w:val="hybridMultilevel"/>
    <w:tmpl w:val="AE28B2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41871"/>
    <w:rsid w:val="00075B35"/>
    <w:rsid w:val="0008157D"/>
    <w:rsid w:val="00097E74"/>
    <w:rsid w:val="000A0CF7"/>
    <w:rsid w:val="000A3B13"/>
    <w:rsid w:val="000B5156"/>
    <w:rsid w:val="000C1AD0"/>
    <w:rsid w:val="000C75D0"/>
    <w:rsid w:val="000D5714"/>
    <w:rsid w:val="000D7A27"/>
    <w:rsid w:val="000F2BE9"/>
    <w:rsid w:val="001050BE"/>
    <w:rsid w:val="00107221"/>
    <w:rsid w:val="001242D9"/>
    <w:rsid w:val="001354F8"/>
    <w:rsid w:val="001366DE"/>
    <w:rsid w:val="00146772"/>
    <w:rsid w:val="00164C87"/>
    <w:rsid w:val="0017068A"/>
    <w:rsid w:val="0018434A"/>
    <w:rsid w:val="00190613"/>
    <w:rsid w:val="001926E1"/>
    <w:rsid w:val="00195EC7"/>
    <w:rsid w:val="001A2005"/>
    <w:rsid w:val="001B2B79"/>
    <w:rsid w:val="001B31D5"/>
    <w:rsid w:val="001B3DB5"/>
    <w:rsid w:val="001C5CC3"/>
    <w:rsid w:val="001E1C11"/>
    <w:rsid w:val="001F27C8"/>
    <w:rsid w:val="001F529F"/>
    <w:rsid w:val="00211862"/>
    <w:rsid w:val="002203DD"/>
    <w:rsid w:val="0022639B"/>
    <w:rsid w:val="00230924"/>
    <w:rsid w:val="00247959"/>
    <w:rsid w:val="00280674"/>
    <w:rsid w:val="002925F1"/>
    <w:rsid w:val="002A7256"/>
    <w:rsid w:val="002B13E3"/>
    <w:rsid w:val="002B1D53"/>
    <w:rsid w:val="002B1E94"/>
    <w:rsid w:val="002C0734"/>
    <w:rsid w:val="002C0814"/>
    <w:rsid w:val="002C3506"/>
    <w:rsid w:val="002C4031"/>
    <w:rsid w:val="002D757B"/>
    <w:rsid w:val="002D7D78"/>
    <w:rsid w:val="002E414D"/>
    <w:rsid w:val="002F586A"/>
    <w:rsid w:val="003150C5"/>
    <w:rsid w:val="00315844"/>
    <w:rsid w:val="003605CC"/>
    <w:rsid w:val="003847CC"/>
    <w:rsid w:val="003A4191"/>
    <w:rsid w:val="003A7ECD"/>
    <w:rsid w:val="003C3779"/>
    <w:rsid w:val="003C4537"/>
    <w:rsid w:val="003C6406"/>
    <w:rsid w:val="003D1138"/>
    <w:rsid w:val="003E2286"/>
    <w:rsid w:val="003E5C36"/>
    <w:rsid w:val="0041671F"/>
    <w:rsid w:val="00423C89"/>
    <w:rsid w:val="00425269"/>
    <w:rsid w:val="00425CDF"/>
    <w:rsid w:val="0044286A"/>
    <w:rsid w:val="00446B90"/>
    <w:rsid w:val="00450F2F"/>
    <w:rsid w:val="00450FA1"/>
    <w:rsid w:val="00453BD9"/>
    <w:rsid w:val="004570C7"/>
    <w:rsid w:val="00465871"/>
    <w:rsid w:val="0046602F"/>
    <w:rsid w:val="004730C6"/>
    <w:rsid w:val="004762FE"/>
    <w:rsid w:val="004807B1"/>
    <w:rsid w:val="004B6C83"/>
    <w:rsid w:val="004C4067"/>
    <w:rsid w:val="004D0109"/>
    <w:rsid w:val="004D6428"/>
    <w:rsid w:val="004E1956"/>
    <w:rsid w:val="004E55D3"/>
    <w:rsid w:val="004F613F"/>
    <w:rsid w:val="0053530C"/>
    <w:rsid w:val="00540B0E"/>
    <w:rsid w:val="00540DAE"/>
    <w:rsid w:val="00555C7D"/>
    <w:rsid w:val="00571E3B"/>
    <w:rsid w:val="00580C94"/>
    <w:rsid w:val="005867AD"/>
    <w:rsid w:val="005938C8"/>
    <w:rsid w:val="0059401F"/>
    <w:rsid w:val="005B07DB"/>
    <w:rsid w:val="005B46D9"/>
    <w:rsid w:val="005D0989"/>
    <w:rsid w:val="005E37E2"/>
    <w:rsid w:val="005F1359"/>
    <w:rsid w:val="005F5A7E"/>
    <w:rsid w:val="00611DBC"/>
    <w:rsid w:val="006410F4"/>
    <w:rsid w:val="00661678"/>
    <w:rsid w:val="0066529D"/>
    <w:rsid w:val="00681E9E"/>
    <w:rsid w:val="006D0FF6"/>
    <w:rsid w:val="006D4D11"/>
    <w:rsid w:val="006E612A"/>
    <w:rsid w:val="00712776"/>
    <w:rsid w:val="00727486"/>
    <w:rsid w:val="0073668A"/>
    <w:rsid w:val="00736F11"/>
    <w:rsid w:val="00754508"/>
    <w:rsid w:val="00764E69"/>
    <w:rsid w:val="007655B9"/>
    <w:rsid w:val="007666E3"/>
    <w:rsid w:val="00783BE6"/>
    <w:rsid w:val="0078787E"/>
    <w:rsid w:val="00793238"/>
    <w:rsid w:val="007A051D"/>
    <w:rsid w:val="007A0D20"/>
    <w:rsid w:val="007C3892"/>
    <w:rsid w:val="007C6110"/>
    <w:rsid w:val="007C691F"/>
    <w:rsid w:val="007C7E19"/>
    <w:rsid w:val="007F2027"/>
    <w:rsid w:val="00817B94"/>
    <w:rsid w:val="00823157"/>
    <w:rsid w:val="008417D3"/>
    <w:rsid w:val="0085041E"/>
    <w:rsid w:val="00861053"/>
    <w:rsid w:val="00861AC8"/>
    <w:rsid w:val="0086502B"/>
    <w:rsid w:val="00866E96"/>
    <w:rsid w:val="00870F62"/>
    <w:rsid w:val="00872371"/>
    <w:rsid w:val="008737D2"/>
    <w:rsid w:val="008A5E8C"/>
    <w:rsid w:val="008A6B50"/>
    <w:rsid w:val="008D48AD"/>
    <w:rsid w:val="009109C1"/>
    <w:rsid w:val="00912F05"/>
    <w:rsid w:val="009669B5"/>
    <w:rsid w:val="00972AF4"/>
    <w:rsid w:val="00981742"/>
    <w:rsid w:val="00982A03"/>
    <w:rsid w:val="00986F71"/>
    <w:rsid w:val="009B52A0"/>
    <w:rsid w:val="009C0B90"/>
    <w:rsid w:val="009C0F61"/>
    <w:rsid w:val="009C105C"/>
    <w:rsid w:val="009C3A30"/>
    <w:rsid w:val="009C7E54"/>
    <w:rsid w:val="009F3D54"/>
    <w:rsid w:val="00A033E7"/>
    <w:rsid w:val="00A04F66"/>
    <w:rsid w:val="00A111A5"/>
    <w:rsid w:val="00A135C6"/>
    <w:rsid w:val="00A17E51"/>
    <w:rsid w:val="00A27464"/>
    <w:rsid w:val="00A365ED"/>
    <w:rsid w:val="00A57050"/>
    <w:rsid w:val="00A624F0"/>
    <w:rsid w:val="00A725E8"/>
    <w:rsid w:val="00A83320"/>
    <w:rsid w:val="00AA295A"/>
    <w:rsid w:val="00AC6487"/>
    <w:rsid w:val="00AF06CA"/>
    <w:rsid w:val="00AF2A92"/>
    <w:rsid w:val="00B116CC"/>
    <w:rsid w:val="00B11B61"/>
    <w:rsid w:val="00B169A5"/>
    <w:rsid w:val="00B25F0B"/>
    <w:rsid w:val="00B273DE"/>
    <w:rsid w:val="00B44024"/>
    <w:rsid w:val="00B83FDA"/>
    <w:rsid w:val="00BA7F7B"/>
    <w:rsid w:val="00BB6309"/>
    <w:rsid w:val="00BB7AF8"/>
    <w:rsid w:val="00BC05AC"/>
    <w:rsid w:val="00C01EEC"/>
    <w:rsid w:val="00C10742"/>
    <w:rsid w:val="00C14AA4"/>
    <w:rsid w:val="00C16594"/>
    <w:rsid w:val="00C16AE0"/>
    <w:rsid w:val="00C460FE"/>
    <w:rsid w:val="00C50896"/>
    <w:rsid w:val="00C54E7B"/>
    <w:rsid w:val="00C725B7"/>
    <w:rsid w:val="00C73E52"/>
    <w:rsid w:val="00C74EC0"/>
    <w:rsid w:val="00C8256D"/>
    <w:rsid w:val="00C93A6C"/>
    <w:rsid w:val="00CA0958"/>
    <w:rsid w:val="00CA19C5"/>
    <w:rsid w:val="00CC3D03"/>
    <w:rsid w:val="00CD4B01"/>
    <w:rsid w:val="00CE1A38"/>
    <w:rsid w:val="00CF4CEC"/>
    <w:rsid w:val="00D142E7"/>
    <w:rsid w:val="00D20589"/>
    <w:rsid w:val="00D25E6E"/>
    <w:rsid w:val="00D66D8C"/>
    <w:rsid w:val="00D7727C"/>
    <w:rsid w:val="00D82FEC"/>
    <w:rsid w:val="00DA14CE"/>
    <w:rsid w:val="00DA5D86"/>
    <w:rsid w:val="00DC15AC"/>
    <w:rsid w:val="00DD0000"/>
    <w:rsid w:val="00DE44EA"/>
    <w:rsid w:val="00E06042"/>
    <w:rsid w:val="00E26382"/>
    <w:rsid w:val="00E32B51"/>
    <w:rsid w:val="00E433A3"/>
    <w:rsid w:val="00E64975"/>
    <w:rsid w:val="00E71FBF"/>
    <w:rsid w:val="00E73E54"/>
    <w:rsid w:val="00ED0946"/>
    <w:rsid w:val="00EE2D4C"/>
    <w:rsid w:val="00EF726D"/>
    <w:rsid w:val="00F07B60"/>
    <w:rsid w:val="00F21C5E"/>
    <w:rsid w:val="00F34AC8"/>
    <w:rsid w:val="00F43021"/>
    <w:rsid w:val="00F463DB"/>
    <w:rsid w:val="00F53AA9"/>
    <w:rsid w:val="00F60E58"/>
    <w:rsid w:val="00F6745D"/>
    <w:rsid w:val="00F73377"/>
    <w:rsid w:val="00FA4DFB"/>
    <w:rsid w:val="00FC7C7B"/>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865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 w:type="character" w:styleId="Kommentarzeichen">
    <w:name w:val="annotation reference"/>
    <w:basedOn w:val="Absatz-Standardschriftart"/>
    <w:uiPriority w:val="99"/>
    <w:semiHidden/>
    <w:rsid w:val="00C460FE"/>
    <w:rPr>
      <w:sz w:val="16"/>
      <w:szCs w:val="16"/>
    </w:rPr>
  </w:style>
  <w:style w:type="paragraph" w:styleId="Kommentartext">
    <w:name w:val="annotation text"/>
    <w:basedOn w:val="Standard"/>
    <w:link w:val="KommentartextZchn"/>
    <w:uiPriority w:val="99"/>
    <w:semiHidden/>
    <w:rsid w:val="00C460F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460FE"/>
    <w:rPr>
      <w:sz w:val="20"/>
      <w:szCs w:val="20"/>
    </w:rPr>
  </w:style>
  <w:style w:type="paragraph" w:styleId="Kommentarthema">
    <w:name w:val="annotation subject"/>
    <w:basedOn w:val="Kommentartext"/>
    <w:next w:val="Kommentartext"/>
    <w:link w:val="KommentarthemaZchn"/>
    <w:uiPriority w:val="99"/>
    <w:semiHidden/>
    <w:rsid w:val="00C460FE"/>
    <w:rPr>
      <w:b/>
      <w:bCs/>
    </w:rPr>
  </w:style>
  <w:style w:type="character" w:customStyle="1" w:styleId="KommentarthemaZchn">
    <w:name w:val="Kommentarthema Zchn"/>
    <w:basedOn w:val="KommentartextZchn"/>
    <w:link w:val="Kommentarthema"/>
    <w:uiPriority w:val="99"/>
    <w:semiHidden/>
    <w:rsid w:val="00C460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 w:id="8656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7.jpeg"/><Relationship Id="rId18" Type="http://schemas.openxmlformats.org/officeDocument/2006/relationships/hyperlink" Target="https://www.fibl.org/de/infothek/medien.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ature.com/articles/s41564-023-01520-w" TargetMode="External"/><Relationship Id="rId2" Type="http://schemas.openxmlformats.org/officeDocument/2006/relationships/customXml" Target="../customXml/item2.xml"/><Relationship Id="rId16" Type="http://schemas.openxmlformats.org/officeDocument/2006/relationships/hyperlink" Target="https://youtu.be/AwbdurJj6IE?si=hzEBLOvKBCh-732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tefanie.lutz@agroscope.admin.ch" TargetMode="External"/><Relationship Id="rId10" Type="http://schemas.openxmlformats.org/officeDocument/2006/relationships/endnotes" Target="endnotes.xml"/><Relationship Id="rId19" Type="http://schemas.openxmlformats.org/officeDocument/2006/relationships/hyperlink" Target="https://www.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acha.bodenhausen@fibl.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sv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FC9843F9-6979-4135-B084-29D949607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ADC8A8-01B4-4AC1-AA60-3F5E69C3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4990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Eine Impfung für gesunde Äcker</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Impfung für gesunde Äcker</dc:title>
  <dc:creator>FiBL;Universität Basel;Universität Zürich;Agroscope</dc:creator>
  <cp:lastModifiedBy>Basler Andreas</cp:lastModifiedBy>
  <cp:revision>27</cp:revision>
  <cp:lastPrinted>2023-11-29T14:12:00Z</cp:lastPrinted>
  <dcterms:created xsi:type="dcterms:W3CDTF">2023-11-29T13:37:00Z</dcterms:created>
  <dcterms:modified xsi:type="dcterms:W3CDTF">2023-11-29T17:09:00Z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