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40CE8" w14:textId="362BE08A" w:rsidR="004762FE" w:rsidRPr="00F77045" w:rsidRDefault="00F77045" w:rsidP="003E5C36">
      <w:pPr>
        <w:pStyle w:val="FiBLmmzwischentitel"/>
        <w:rPr>
          <w:sz w:val="24"/>
          <w:szCs w:val="24"/>
        </w:rPr>
        <w:sectPr w:rsidR="004762FE" w:rsidRPr="00F77045"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F77045">
        <w:rPr>
          <w:sz w:val="24"/>
          <w:szCs w:val="24"/>
        </w:rPr>
        <w:t>Presse</w:t>
      </w:r>
      <w:r w:rsidR="004762FE" w:rsidRPr="00F77045">
        <w:rPr>
          <w:sz w:val="24"/>
          <w:szCs w:val="24"/>
        </w:rPr>
        <w:t>mitteilung</w:t>
      </w:r>
      <w:r w:rsidR="001615DA">
        <w:rPr>
          <w:sz w:val="24"/>
          <w:szCs w:val="24"/>
        </w:rPr>
        <w:t>, 19</w:t>
      </w:r>
      <w:r w:rsidR="00FB018A">
        <w:rPr>
          <w:sz w:val="24"/>
          <w:szCs w:val="24"/>
        </w:rPr>
        <w:t>.10.2021</w:t>
      </w:r>
    </w:p>
    <w:p w14:paraId="53B270FD" w14:textId="45D5A970" w:rsidR="00FB018A" w:rsidRDefault="00FB018A" w:rsidP="00FB018A">
      <w:pPr>
        <w:pStyle w:val="FiBLmmstandard"/>
        <w:rPr>
          <w:rFonts w:ascii="Gill Sans MT" w:hAnsi="Gill Sans MT"/>
          <w:b/>
          <w:bCs/>
          <w:sz w:val="34"/>
          <w:lang w:val="de-DE"/>
        </w:rPr>
      </w:pPr>
      <w:r w:rsidRPr="00FB018A">
        <w:rPr>
          <w:rFonts w:ascii="Gill Sans MT" w:hAnsi="Gill Sans MT"/>
          <w:b/>
          <w:bCs/>
          <w:sz w:val="34"/>
          <w:lang w:val="de-DE"/>
        </w:rPr>
        <w:t xml:space="preserve">Die Schule des Essens </w:t>
      </w:r>
      <w:proofErr w:type="spellStart"/>
      <w:r w:rsidRPr="00FB018A">
        <w:rPr>
          <w:rFonts w:ascii="Gill Sans MT" w:hAnsi="Gill Sans MT"/>
          <w:b/>
          <w:bCs/>
          <w:sz w:val="34"/>
          <w:lang w:val="de-DE"/>
        </w:rPr>
        <w:t>goes</w:t>
      </w:r>
      <w:proofErr w:type="spellEnd"/>
      <w:r w:rsidRPr="00FB018A">
        <w:rPr>
          <w:rFonts w:ascii="Gill Sans MT" w:hAnsi="Gill Sans MT"/>
          <w:b/>
          <w:bCs/>
          <w:sz w:val="34"/>
          <w:lang w:val="de-DE"/>
        </w:rPr>
        <w:t xml:space="preserve"> Lehrlinge</w:t>
      </w:r>
      <w:r>
        <w:rPr>
          <w:rFonts w:ascii="Gill Sans MT" w:hAnsi="Gill Sans MT"/>
          <w:b/>
          <w:bCs/>
          <w:sz w:val="34"/>
          <w:lang w:val="de-DE"/>
        </w:rPr>
        <w:t xml:space="preserve">: </w:t>
      </w:r>
      <w:r w:rsidRPr="00FB018A">
        <w:rPr>
          <w:rFonts w:ascii="Gill Sans MT" w:hAnsi="Gill Sans MT"/>
          <w:b/>
          <w:bCs/>
          <w:sz w:val="34"/>
          <w:lang w:val="de-DE"/>
        </w:rPr>
        <w:t xml:space="preserve">Initiative für gesunde und klimafreundliche Ernährung </w:t>
      </w:r>
      <w:r w:rsidR="008117A9">
        <w:rPr>
          <w:rFonts w:ascii="Gill Sans MT" w:hAnsi="Gill Sans MT"/>
          <w:b/>
          <w:bCs/>
          <w:sz w:val="34"/>
          <w:lang w:val="de-DE"/>
        </w:rPr>
        <w:t xml:space="preserve">am </w:t>
      </w:r>
      <w:proofErr w:type="spellStart"/>
      <w:r w:rsidR="008117A9">
        <w:rPr>
          <w:rFonts w:ascii="Gill Sans MT" w:hAnsi="Gill Sans MT"/>
          <w:b/>
          <w:bCs/>
          <w:sz w:val="34"/>
          <w:lang w:val="de-DE"/>
        </w:rPr>
        <w:t>FiBL</w:t>
      </w:r>
      <w:proofErr w:type="spellEnd"/>
      <w:r w:rsidR="008117A9">
        <w:rPr>
          <w:rFonts w:ascii="Gill Sans MT" w:hAnsi="Gill Sans MT"/>
          <w:b/>
          <w:bCs/>
          <w:sz w:val="34"/>
          <w:lang w:val="de-DE"/>
        </w:rPr>
        <w:t xml:space="preserve"> </w:t>
      </w:r>
      <w:r w:rsidRPr="00FB018A">
        <w:rPr>
          <w:rFonts w:ascii="Gill Sans MT" w:hAnsi="Gill Sans MT"/>
          <w:b/>
          <w:bCs/>
          <w:sz w:val="34"/>
          <w:lang w:val="de-DE"/>
        </w:rPr>
        <w:t xml:space="preserve">gestartet </w:t>
      </w:r>
    </w:p>
    <w:p w14:paraId="3062E627" w14:textId="0472E732" w:rsidR="005F17EE" w:rsidRDefault="00FB018A" w:rsidP="00985973">
      <w:pPr>
        <w:pStyle w:val="FiBLmmstandard"/>
        <w:rPr>
          <w:rFonts w:ascii="Gill Sans MT" w:hAnsi="Gill Sans MT"/>
          <w:b/>
          <w:lang w:val="de-DE"/>
        </w:rPr>
      </w:pPr>
      <w:r w:rsidRPr="00FB018A">
        <w:rPr>
          <w:rFonts w:ascii="Gill Sans MT" w:hAnsi="Gill Sans MT"/>
          <w:b/>
          <w:lang w:val="de-DE"/>
        </w:rPr>
        <w:t>Die Lehrzeit ist ein besonders wichtiger und fordernder Lebensabschnitt, in dem sich die Lehrlinge beruflich, aber auch persönlich stark weiterentwickeln. Sie sollen dabei auch auf ihrem Weg zu einem gesunden und nachhaltigen Arbeitsleben unterstützt werden und stehen in der heimischen Gesundheitsförderung vermehrt im Fokus.</w:t>
      </w:r>
    </w:p>
    <w:p w14:paraId="471C1C31" w14:textId="77777777" w:rsidR="003E01D8" w:rsidRDefault="003E01D8" w:rsidP="00985973">
      <w:pPr>
        <w:pStyle w:val="FiBLmmstandard"/>
        <w:rPr>
          <w:rFonts w:ascii="Gill Sans MT" w:hAnsi="Gill Sans MT"/>
          <w:b/>
          <w:lang w:val="de-DE"/>
        </w:rPr>
      </w:pPr>
    </w:p>
    <w:p w14:paraId="63E62906" w14:textId="77777777" w:rsidR="00FB018A" w:rsidRPr="00FB018A" w:rsidRDefault="00FB018A" w:rsidP="00FB018A">
      <w:pPr>
        <w:pStyle w:val="FiBLmmstandard"/>
        <w:rPr>
          <w:b/>
          <w:lang w:val="de-DE"/>
        </w:rPr>
      </w:pPr>
      <w:r w:rsidRPr="00FB018A">
        <w:rPr>
          <w:b/>
          <w:lang w:val="de-DE"/>
        </w:rPr>
        <w:t>Gesundheit und Klimaschutz ergänzen sich optimal</w:t>
      </w:r>
    </w:p>
    <w:p w14:paraId="0FC0BDDC" w14:textId="77777777" w:rsidR="00FB018A" w:rsidRPr="00FB018A" w:rsidRDefault="00FB018A" w:rsidP="00FB018A">
      <w:pPr>
        <w:pStyle w:val="FiBLmmstandard"/>
        <w:rPr>
          <w:lang w:val="de-DE"/>
        </w:rPr>
      </w:pPr>
      <w:r w:rsidRPr="00FB018A">
        <w:rPr>
          <w:lang w:val="de-DE"/>
        </w:rPr>
        <w:t xml:space="preserve">Klimaschutz, Klimawandelanpassung und Gesundheitsförderung gehen Hand in Hand. Auch beim Essen und Trinken kann jede einzelne Person viel tun, um gesund, aber auch möglichst klimaschonend zu handeln. Eine klimafreundliche Ernährung hat einen hohen pflanzlichen Anteil, legt Wert auf </w:t>
      </w:r>
      <w:proofErr w:type="spellStart"/>
      <w:r w:rsidRPr="00FB018A">
        <w:rPr>
          <w:lang w:val="de-DE"/>
        </w:rPr>
        <w:t>Tierwohl</w:t>
      </w:r>
      <w:proofErr w:type="spellEnd"/>
      <w:r w:rsidRPr="00FB018A">
        <w:rPr>
          <w:lang w:val="de-DE"/>
        </w:rPr>
        <w:t>, soziale Aspekte wie gute Arbeitsbedingungen sowie kurze Transportwege. Bevorzugt wird eine energiesparende Produktionsweise bei bestmöglicher Schonung der Umwelt und Förderung der Biodiversität.</w:t>
      </w:r>
    </w:p>
    <w:p w14:paraId="704067A7" w14:textId="77777777" w:rsidR="00FB018A" w:rsidRPr="00FB018A" w:rsidRDefault="00FB018A" w:rsidP="00FB018A">
      <w:pPr>
        <w:pStyle w:val="FiBLmmstandard"/>
        <w:rPr>
          <w:b/>
          <w:lang w:val="de-DE"/>
        </w:rPr>
      </w:pPr>
      <w:r w:rsidRPr="00FB018A">
        <w:rPr>
          <w:b/>
          <w:lang w:val="de-DE"/>
        </w:rPr>
        <w:t xml:space="preserve">Schule des Essens </w:t>
      </w:r>
      <w:proofErr w:type="spellStart"/>
      <w:r w:rsidRPr="00FB018A">
        <w:rPr>
          <w:b/>
          <w:lang w:val="de-DE"/>
        </w:rPr>
        <w:t>goes</w:t>
      </w:r>
      <w:proofErr w:type="spellEnd"/>
      <w:r w:rsidRPr="00FB018A">
        <w:rPr>
          <w:b/>
          <w:lang w:val="de-DE"/>
        </w:rPr>
        <w:t xml:space="preserve"> Lehrlinge</w:t>
      </w:r>
    </w:p>
    <w:p w14:paraId="71D55D7D" w14:textId="026EC179" w:rsidR="00FB018A" w:rsidRPr="00FB018A" w:rsidRDefault="00FB018A" w:rsidP="00FB018A">
      <w:pPr>
        <w:pStyle w:val="FiBLmmstandard"/>
        <w:rPr>
          <w:lang w:val="de-DE"/>
        </w:rPr>
      </w:pPr>
      <w:r w:rsidRPr="00FB018A">
        <w:rPr>
          <w:lang w:val="de-DE"/>
        </w:rPr>
        <w:t>Die Schule des Essens ist ein Bildungsprogramm zu nachhalti</w:t>
      </w:r>
      <w:r w:rsidR="002E01F2">
        <w:rPr>
          <w:lang w:val="de-DE"/>
        </w:rPr>
        <w:t xml:space="preserve">ger Ernährung, das 2014 von </w:t>
      </w:r>
      <w:r w:rsidRPr="00FB018A">
        <w:rPr>
          <w:lang w:val="de-DE"/>
        </w:rPr>
        <w:t>Theres Rathmanner am Forschungsinstitut für biologischen Landbau (</w:t>
      </w:r>
      <w:proofErr w:type="spellStart"/>
      <w:r w:rsidRPr="00FB018A">
        <w:rPr>
          <w:lang w:val="de-DE"/>
        </w:rPr>
        <w:t>FiBL</w:t>
      </w:r>
      <w:proofErr w:type="spellEnd"/>
      <w:r w:rsidRPr="00FB018A">
        <w:rPr>
          <w:lang w:val="de-DE"/>
        </w:rPr>
        <w:t xml:space="preserve"> Österreich) ins Leben gerufen wurde. Zahl</w:t>
      </w:r>
      <w:r w:rsidR="002E01F2">
        <w:rPr>
          <w:lang w:val="de-DE"/>
        </w:rPr>
        <w:t xml:space="preserve">reiche Schulklassen und </w:t>
      </w:r>
      <w:proofErr w:type="spellStart"/>
      <w:r w:rsidR="002E01F2">
        <w:rPr>
          <w:lang w:val="de-DE"/>
        </w:rPr>
        <w:t>Pädagog</w:t>
      </w:r>
      <w:proofErr w:type="spellEnd"/>
      <w:r w:rsidR="002E01F2">
        <w:rPr>
          <w:lang w:val="de-DE"/>
        </w:rPr>
        <w:t>*i</w:t>
      </w:r>
      <w:r w:rsidRPr="00FB018A">
        <w:rPr>
          <w:lang w:val="de-DE"/>
        </w:rPr>
        <w:t xml:space="preserve">nnen haben bereits von diesem Programm profitiert. Doch nun war es Zeit, eine neue wichtige Zielgruppe zu erreichen: die Lehrlinge in ihren Betrieben. </w:t>
      </w:r>
    </w:p>
    <w:p w14:paraId="21706CF0" w14:textId="74DB9431" w:rsidR="00FB018A" w:rsidRPr="00FB018A" w:rsidRDefault="00FB018A" w:rsidP="00FB018A">
      <w:pPr>
        <w:pStyle w:val="FiBLmmstandard"/>
        <w:rPr>
          <w:lang w:val="de-DE"/>
        </w:rPr>
      </w:pPr>
      <w:r w:rsidRPr="00FB018A">
        <w:rPr>
          <w:lang w:val="de-DE"/>
        </w:rPr>
        <w:t>Bereits im Juli startete die Suche nach engagierten Unternehmen, die den Austausch zu gesunder und klimafreundlicher Ernährung</w:t>
      </w:r>
      <w:r>
        <w:rPr>
          <w:lang w:val="de-DE"/>
        </w:rPr>
        <w:t xml:space="preserve"> mit ihren jüngsten Mitarbeiter</w:t>
      </w:r>
      <w:r w:rsidR="001615DA">
        <w:rPr>
          <w:lang w:val="de-DE"/>
        </w:rPr>
        <w:t>*</w:t>
      </w:r>
      <w:r>
        <w:rPr>
          <w:lang w:val="de-DE"/>
        </w:rPr>
        <w:t>i</w:t>
      </w:r>
      <w:r w:rsidRPr="00FB018A">
        <w:rPr>
          <w:lang w:val="de-DE"/>
        </w:rPr>
        <w:t xml:space="preserve">nnen fördern möchten. Nun haben sich die ersten Lehrlinge mit dem Thema intensiv auseinandergesetzt. Die Firma Elektro </w:t>
      </w:r>
      <w:proofErr w:type="spellStart"/>
      <w:r w:rsidRPr="00FB018A">
        <w:rPr>
          <w:lang w:val="de-DE"/>
        </w:rPr>
        <w:t>Rauhofer</w:t>
      </w:r>
      <w:proofErr w:type="spellEnd"/>
      <w:r w:rsidRPr="00FB018A">
        <w:rPr>
          <w:lang w:val="de-DE"/>
        </w:rPr>
        <w:t xml:space="preserve"> GmbH &amp; Co KG aus Wien Liesing hat die Chance ergriffen und allen neun Lehrlingen diesen gemeinsamen Tag ermöglicht. Erkannt wurde dabei auch der wichtige Zusammenhang von Ernährung und Gesundheit für die Arbeitswelt.</w:t>
      </w:r>
    </w:p>
    <w:p w14:paraId="710FF5A5" w14:textId="77777777" w:rsidR="00FB018A" w:rsidRPr="00FB018A" w:rsidRDefault="00FB018A" w:rsidP="00FB018A">
      <w:pPr>
        <w:pStyle w:val="FiBLmmstandard"/>
        <w:rPr>
          <w:b/>
          <w:lang w:val="de-DE"/>
        </w:rPr>
      </w:pPr>
      <w:r w:rsidRPr="00FB018A">
        <w:rPr>
          <w:b/>
          <w:lang w:val="de-DE"/>
        </w:rPr>
        <w:t>Was wurde umgesetzt?</w:t>
      </w:r>
    </w:p>
    <w:p w14:paraId="05A56A24" w14:textId="77777777" w:rsidR="008117A9" w:rsidRDefault="00FB018A" w:rsidP="00FB018A">
      <w:pPr>
        <w:pStyle w:val="FiBLmmstandard"/>
        <w:rPr>
          <w:lang w:val="de-DE"/>
        </w:rPr>
      </w:pPr>
      <w:r w:rsidRPr="00FB018A">
        <w:rPr>
          <w:lang w:val="de-DE"/>
        </w:rPr>
        <w:t xml:space="preserve">Die Lehrlinge haben sich einen Vormittag lang mit den Zusammenhängen unserer Ernährung und der Umwelt beschäftigt, die Umsetzungsmöglichkeiten im privaten </w:t>
      </w:r>
      <w:r w:rsidRPr="00FB018A">
        <w:rPr>
          <w:lang w:val="de-DE"/>
        </w:rPr>
        <w:lastRenderedPageBreak/>
        <w:t xml:space="preserve">und beruflichen Umfeld diskutiert, aber auch ehrlich die Bereitschaft für individuelle Veränderungen reflektiert. Am Nachmittag wurde gemeinsam gekocht. </w:t>
      </w:r>
    </w:p>
    <w:p w14:paraId="6A74E4A1" w14:textId="35E58F64" w:rsidR="00FB018A" w:rsidRPr="008117A9" w:rsidRDefault="00FB018A" w:rsidP="00FB018A">
      <w:pPr>
        <w:pStyle w:val="FiBLmmstandard"/>
        <w:rPr>
          <w:lang w:val="de-DE"/>
        </w:rPr>
      </w:pPr>
      <w:r w:rsidRPr="00FB018A">
        <w:rPr>
          <w:b/>
          <w:lang w:val="de-DE"/>
        </w:rPr>
        <w:t xml:space="preserve">Von der Schnauze bis zum Schweif – </w:t>
      </w:r>
      <w:proofErr w:type="spellStart"/>
      <w:r w:rsidRPr="00FB018A">
        <w:rPr>
          <w:b/>
          <w:lang w:val="de-DE"/>
        </w:rPr>
        <w:t>nose</w:t>
      </w:r>
      <w:proofErr w:type="spellEnd"/>
      <w:r w:rsidRPr="00FB018A">
        <w:rPr>
          <w:b/>
          <w:lang w:val="de-DE"/>
        </w:rPr>
        <w:t xml:space="preserve"> </w:t>
      </w:r>
      <w:proofErr w:type="spellStart"/>
      <w:r w:rsidRPr="00FB018A">
        <w:rPr>
          <w:b/>
          <w:lang w:val="de-DE"/>
        </w:rPr>
        <w:t>to</w:t>
      </w:r>
      <w:proofErr w:type="spellEnd"/>
      <w:r w:rsidRPr="00FB018A">
        <w:rPr>
          <w:b/>
          <w:lang w:val="de-DE"/>
        </w:rPr>
        <w:t xml:space="preserve"> </w:t>
      </w:r>
      <w:proofErr w:type="spellStart"/>
      <w:r w:rsidRPr="00FB018A">
        <w:rPr>
          <w:b/>
          <w:lang w:val="de-DE"/>
        </w:rPr>
        <w:t>tail</w:t>
      </w:r>
      <w:proofErr w:type="spellEnd"/>
    </w:p>
    <w:p w14:paraId="2173F538" w14:textId="576B6168" w:rsidR="00FB018A" w:rsidRPr="00FB018A" w:rsidRDefault="00FB018A" w:rsidP="00FB018A">
      <w:pPr>
        <w:pStyle w:val="FiBLmmstandard"/>
        <w:rPr>
          <w:lang w:val="de-DE"/>
        </w:rPr>
      </w:pPr>
      <w:r w:rsidRPr="00FB018A">
        <w:rPr>
          <w:lang w:val="de-DE"/>
        </w:rPr>
        <w:t xml:space="preserve">Da es sich um eine reine Burschengruppe mit Vorliebe für Fleisch handelte, wurde die gemeinsame Zubereitung einer geräucherten Rinderzunge genutzt, um die zahlreichen Aspekte rund um empfohlene Verzehrmenge, </w:t>
      </w:r>
      <w:proofErr w:type="spellStart"/>
      <w:r w:rsidRPr="00FB018A">
        <w:rPr>
          <w:lang w:val="de-DE"/>
        </w:rPr>
        <w:t>Tierwohl</w:t>
      </w:r>
      <w:proofErr w:type="spellEnd"/>
      <w:r w:rsidRPr="00FB018A">
        <w:rPr>
          <w:lang w:val="de-DE"/>
        </w:rPr>
        <w:t>, Schlachtung und Lebensmittelverschwendung aufzugreifen. Ein nachhaltiger Fleischkonsum heißt auch, nicht nur Edelteile wie Steak oder Filet zu nutzen, sondern alle Teile eines Tieres, wenn es schon geschlachtet werden muss. Die beide</w:t>
      </w:r>
      <w:r w:rsidR="008117A9">
        <w:rPr>
          <w:lang w:val="de-DE"/>
        </w:rPr>
        <w:t xml:space="preserve">n </w:t>
      </w:r>
      <w:proofErr w:type="spellStart"/>
      <w:r w:rsidR="008117A9">
        <w:rPr>
          <w:lang w:val="de-DE"/>
        </w:rPr>
        <w:t>Ernährungswissenschafterinnen</w:t>
      </w:r>
      <w:proofErr w:type="spellEnd"/>
      <w:r w:rsidR="008117A9">
        <w:rPr>
          <w:lang w:val="de-DE"/>
        </w:rPr>
        <w:t xml:space="preserve"> </w:t>
      </w:r>
      <w:r w:rsidR="002E01F2">
        <w:rPr>
          <w:lang w:val="de-DE"/>
        </w:rPr>
        <w:t xml:space="preserve">Andrea </w:t>
      </w:r>
      <w:proofErr w:type="spellStart"/>
      <w:r w:rsidR="002E01F2">
        <w:rPr>
          <w:lang w:val="de-DE"/>
        </w:rPr>
        <w:t>Fičala</w:t>
      </w:r>
      <w:proofErr w:type="spellEnd"/>
      <w:r w:rsidR="002E01F2">
        <w:rPr>
          <w:lang w:val="de-DE"/>
        </w:rPr>
        <w:t xml:space="preserve"> und </w:t>
      </w:r>
      <w:r w:rsidRPr="00FB018A">
        <w:rPr>
          <w:lang w:val="de-DE"/>
        </w:rPr>
        <w:t>Theres Rathmanner konnten sich so einer extra Portion Aufmerksamkeit sicher sein. (Fast) Alle Lehrlinge haben die Rinderzunge probiert, manche auch mit Nachschlag, es gab viele anregende Gespräche zum durchaus emotional besetzten Thema Fleisch.</w:t>
      </w:r>
    </w:p>
    <w:p w14:paraId="78931B10" w14:textId="77777777" w:rsidR="00FB018A" w:rsidRPr="00FB018A" w:rsidRDefault="00FB018A" w:rsidP="00FB018A">
      <w:pPr>
        <w:pStyle w:val="FiBLmmstandard"/>
        <w:rPr>
          <w:b/>
          <w:lang w:val="de-DE"/>
        </w:rPr>
      </w:pPr>
      <w:r w:rsidRPr="00FB018A">
        <w:rPr>
          <w:b/>
          <w:lang w:val="de-DE"/>
        </w:rPr>
        <w:t>Impulsvideos und Begleitmaterialien</w:t>
      </w:r>
    </w:p>
    <w:p w14:paraId="3E823E15" w14:textId="77777777" w:rsidR="00FB018A" w:rsidRPr="00FB018A" w:rsidRDefault="00FB018A" w:rsidP="00FB018A">
      <w:pPr>
        <w:pStyle w:val="FiBLmmstandard"/>
        <w:rPr>
          <w:lang w:val="de-DE"/>
        </w:rPr>
      </w:pPr>
      <w:r w:rsidRPr="00FB018A">
        <w:rPr>
          <w:lang w:val="de-DE"/>
        </w:rPr>
        <w:t>Im Projekt entstehen drei Impulsvideos mit den teilnehmenden Lehrlingen sowie Begleitmaterialien, die im Anschluss weiteren Betrieben zur Verfügung stehen. Sie sollen dazu anregen, das Thema mit den Auszubildenden aufzugreifen und eine gesunde und klimafreundliche Verpflegung bewusst zu fördern, zum Beispiel sie bei der Mittagsverpflegung, den Lehrlingstagen sowie anderen Veranstaltungen anzubieten oder weitere interne Aktionen dazu umzusetzen.</w:t>
      </w:r>
    </w:p>
    <w:p w14:paraId="25947C7A" w14:textId="77777777" w:rsidR="00FB018A" w:rsidRPr="00FB018A" w:rsidRDefault="00FB018A" w:rsidP="00FB018A">
      <w:pPr>
        <w:pStyle w:val="FiBLmmstandard"/>
        <w:rPr>
          <w:b/>
          <w:lang w:val="de-DE"/>
        </w:rPr>
      </w:pPr>
      <w:r w:rsidRPr="00FB018A">
        <w:rPr>
          <w:b/>
          <w:lang w:val="de-DE"/>
        </w:rPr>
        <w:t>Projekt durch Förderung möglich</w:t>
      </w:r>
    </w:p>
    <w:p w14:paraId="4C782DC9" w14:textId="0DDB5F2F" w:rsidR="00FB018A" w:rsidRPr="00FB018A" w:rsidRDefault="00895483" w:rsidP="00FB018A">
      <w:pPr>
        <w:pStyle w:val="FiBLmmstandard"/>
        <w:rPr>
          <w:lang w:val="de-DE"/>
        </w:rPr>
      </w:pPr>
      <w:r>
        <w:rPr>
          <w:lang w:val="de-DE"/>
        </w:rPr>
        <w:t xml:space="preserve">Beim </w:t>
      </w:r>
      <w:proofErr w:type="spellStart"/>
      <w:r>
        <w:rPr>
          <w:lang w:val="de-DE"/>
        </w:rPr>
        <w:t>Projektcall</w:t>
      </w:r>
      <w:proofErr w:type="spellEnd"/>
      <w:r>
        <w:rPr>
          <w:lang w:val="de-DE"/>
        </w:rPr>
        <w:t xml:space="preserve"> „</w:t>
      </w:r>
      <w:r w:rsidR="00FB018A" w:rsidRPr="00FB018A">
        <w:rPr>
          <w:lang w:val="de-DE"/>
        </w:rPr>
        <w:t>Klimawandel, nachhaltige Entwicklung und Gesundheit</w:t>
      </w:r>
      <w:r>
        <w:rPr>
          <w:lang w:val="de-DE"/>
        </w:rPr>
        <w:t>“</w:t>
      </w:r>
      <w:r w:rsidR="00FB018A" w:rsidRPr="00FB018A">
        <w:rPr>
          <w:lang w:val="de-DE"/>
        </w:rPr>
        <w:t xml:space="preserve"> wurde die Schule des Essens als eines von neun Projekten in sechs Bundesländern ausgewählt. Finanziell ermöglicht werden erste Impulse für ein gemeinsames Aktivwerden vom Gesundheits- und Sozialministerium und der Gesundheit Österreich GmbH. </w:t>
      </w:r>
    </w:p>
    <w:p w14:paraId="39814D37" w14:textId="77777777" w:rsidR="00FB018A" w:rsidRPr="00FB018A" w:rsidRDefault="00FB018A" w:rsidP="00FB018A">
      <w:pPr>
        <w:pStyle w:val="FiBLmmstandard"/>
        <w:rPr>
          <w:b/>
          <w:lang w:val="de-DE"/>
        </w:rPr>
      </w:pPr>
      <w:r w:rsidRPr="00FB018A">
        <w:rPr>
          <w:b/>
          <w:lang w:val="de-DE"/>
        </w:rPr>
        <w:t>Tipps für einen nachhaltigen Fleischkonsum</w:t>
      </w:r>
    </w:p>
    <w:p w14:paraId="22ECADE4" w14:textId="77777777" w:rsidR="00FB018A" w:rsidRDefault="00FB018A" w:rsidP="00FB018A">
      <w:pPr>
        <w:pStyle w:val="FiBLmmaufzhlungszeichen"/>
        <w:rPr>
          <w:lang w:val="de-DE"/>
        </w:rPr>
      </w:pPr>
      <w:r w:rsidRPr="00FB018A">
        <w:rPr>
          <w:lang w:val="de-DE"/>
        </w:rPr>
        <w:t>höchstens 300 g Fleisch &amp; Wurst pro Woche essen</w:t>
      </w:r>
      <w:r w:rsidRPr="003E01D8">
        <w:rPr>
          <w:sz w:val="20"/>
          <w:szCs w:val="20"/>
          <w:lang w:val="de-DE"/>
        </w:rPr>
        <w:t>*</w:t>
      </w:r>
    </w:p>
    <w:p w14:paraId="6A95CDB1" w14:textId="77777777" w:rsidR="00FB018A" w:rsidRDefault="00FB018A" w:rsidP="00FB018A">
      <w:pPr>
        <w:pStyle w:val="FiBLmmaufzhlungszeichen"/>
        <w:rPr>
          <w:lang w:val="de-DE"/>
        </w:rPr>
      </w:pPr>
      <w:r w:rsidRPr="00FB018A">
        <w:rPr>
          <w:lang w:val="de-DE"/>
        </w:rPr>
        <w:t>verschiedene Teile des Tieres essen</w:t>
      </w:r>
    </w:p>
    <w:p w14:paraId="701C1DD8" w14:textId="77777777" w:rsidR="00FB018A" w:rsidRDefault="00FB018A" w:rsidP="00FB018A">
      <w:pPr>
        <w:pStyle w:val="FiBLmmaufzhlungszeichen"/>
        <w:rPr>
          <w:lang w:val="de-DE"/>
        </w:rPr>
      </w:pPr>
      <w:r w:rsidRPr="00FB018A">
        <w:rPr>
          <w:lang w:val="de-DE"/>
        </w:rPr>
        <w:t>pflanzlichen Produkten den Vorrang geben</w:t>
      </w:r>
    </w:p>
    <w:p w14:paraId="33935850" w14:textId="77777777" w:rsidR="00FB018A" w:rsidRDefault="00FB018A" w:rsidP="00FB018A">
      <w:pPr>
        <w:pStyle w:val="FiBLmmaufzhlungszeichen"/>
        <w:rPr>
          <w:lang w:val="de-DE"/>
        </w:rPr>
      </w:pPr>
      <w:r w:rsidRPr="00FB018A">
        <w:rPr>
          <w:lang w:val="de-DE"/>
        </w:rPr>
        <w:t>Hülsenfrüchte wie Bohnen, Linsen oder Kichererbsen als Proteinquelle nutzen</w:t>
      </w:r>
    </w:p>
    <w:p w14:paraId="08F6198E" w14:textId="36AFB55A" w:rsidR="00FB018A" w:rsidRPr="00FB018A" w:rsidRDefault="00FB018A" w:rsidP="00FB018A">
      <w:pPr>
        <w:pStyle w:val="FiBLmmaufzhlungszeichen"/>
        <w:rPr>
          <w:lang w:val="de-DE"/>
        </w:rPr>
      </w:pPr>
      <w:r w:rsidRPr="00FB018A">
        <w:rPr>
          <w:lang w:val="de-DE"/>
        </w:rPr>
        <w:t>Gütesiegel beim Einkauf von Fleisch &amp; Wurst beachten (</w:t>
      </w:r>
      <w:proofErr w:type="spellStart"/>
      <w:r w:rsidRPr="00FB018A">
        <w:rPr>
          <w:lang w:val="de-DE"/>
        </w:rPr>
        <w:t>bio</w:t>
      </w:r>
      <w:proofErr w:type="spellEnd"/>
      <w:r w:rsidRPr="00FB018A">
        <w:rPr>
          <w:lang w:val="de-DE"/>
        </w:rPr>
        <w:t>, regional)</w:t>
      </w:r>
    </w:p>
    <w:p w14:paraId="643F1D06" w14:textId="77777777" w:rsidR="00FB018A" w:rsidRPr="003E01D8" w:rsidRDefault="00FB018A" w:rsidP="00FB018A">
      <w:pPr>
        <w:pStyle w:val="FiBLmmstandard"/>
        <w:rPr>
          <w:sz w:val="20"/>
          <w:szCs w:val="20"/>
          <w:lang w:val="en-GB"/>
        </w:rPr>
      </w:pPr>
      <w:r w:rsidRPr="003E01D8">
        <w:rPr>
          <w:sz w:val="20"/>
          <w:szCs w:val="20"/>
          <w:lang w:val="en-GB"/>
        </w:rPr>
        <w:t xml:space="preserve">* </w:t>
      </w:r>
      <w:proofErr w:type="spellStart"/>
      <w:proofErr w:type="gramStart"/>
      <w:r w:rsidRPr="003E01D8">
        <w:rPr>
          <w:sz w:val="20"/>
          <w:szCs w:val="20"/>
          <w:lang w:val="en-GB"/>
        </w:rPr>
        <w:t>nach</w:t>
      </w:r>
      <w:proofErr w:type="spellEnd"/>
      <w:proofErr w:type="gramEnd"/>
      <w:r w:rsidRPr="003E01D8">
        <w:rPr>
          <w:sz w:val="20"/>
          <w:szCs w:val="20"/>
          <w:lang w:val="en-GB"/>
        </w:rPr>
        <w:t xml:space="preserve"> Planetary Health Diet/EAT-Lancet-</w:t>
      </w:r>
      <w:proofErr w:type="spellStart"/>
      <w:r w:rsidRPr="003E01D8">
        <w:rPr>
          <w:sz w:val="20"/>
          <w:szCs w:val="20"/>
          <w:lang w:val="en-GB"/>
        </w:rPr>
        <w:t>Kommission</w:t>
      </w:r>
      <w:proofErr w:type="spellEnd"/>
    </w:p>
    <w:p w14:paraId="4D84A919" w14:textId="77777777" w:rsidR="008117A9" w:rsidRDefault="008117A9" w:rsidP="00FB018A">
      <w:pPr>
        <w:pStyle w:val="FiBLmmstandard"/>
        <w:rPr>
          <w:b/>
          <w:lang w:val="de-DE"/>
        </w:rPr>
      </w:pPr>
    </w:p>
    <w:p w14:paraId="75580782" w14:textId="77777777" w:rsidR="008117A9" w:rsidRDefault="008117A9" w:rsidP="00FB018A">
      <w:pPr>
        <w:pStyle w:val="FiBLmmstandard"/>
        <w:rPr>
          <w:b/>
          <w:lang w:val="de-DE"/>
        </w:rPr>
      </w:pPr>
    </w:p>
    <w:p w14:paraId="4D2507DA" w14:textId="77777777" w:rsidR="008117A9" w:rsidRDefault="008117A9" w:rsidP="00FB018A">
      <w:pPr>
        <w:pStyle w:val="FiBLmmstandard"/>
        <w:rPr>
          <w:b/>
          <w:lang w:val="de-DE"/>
        </w:rPr>
      </w:pPr>
    </w:p>
    <w:p w14:paraId="6BB98885" w14:textId="77777777" w:rsidR="00FB018A" w:rsidRPr="00FB018A" w:rsidRDefault="00FB018A" w:rsidP="00FB018A">
      <w:pPr>
        <w:pStyle w:val="FiBLmmstandard"/>
        <w:rPr>
          <w:b/>
          <w:lang w:val="de-DE"/>
        </w:rPr>
      </w:pPr>
      <w:bookmarkStart w:id="0" w:name="_GoBack"/>
      <w:bookmarkEnd w:id="0"/>
      <w:r w:rsidRPr="00FB018A">
        <w:rPr>
          <w:b/>
          <w:lang w:val="de-DE"/>
        </w:rPr>
        <w:lastRenderedPageBreak/>
        <w:t>Über das Forschungsinstitut für biologischen Landbau</w:t>
      </w:r>
    </w:p>
    <w:p w14:paraId="677C0996" w14:textId="52853D0B" w:rsidR="003E01D8" w:rsidRPr="00FB018A" w:rsidRDefault="00FB018A" w:rsidP="00FB018A">
      <w:pPr>
        <w:pStyle w:val="FiBLmmstandard"/>
        <w:rPr>
          <w:lang w:val="de-DE"/>
        </w:rPr>
      </w:pPr>
      <w:r w:rsidRPr="00FB018A">
        <w:rPr>
          <w:lang w:val="de-DE"/>
        </w:rPr>
        <w:t xml:space="preserve">Das </w:t>
      </w:r>
      <w:proofErr w:type="spellStart"/>
      <w:r w:rsidRPr="00FB018A">
        <w:rPr>
          <w:lang w:val="de-DE"/>
        </w:rPr>
        <w:t>FiBL</w:t>
      </w:r>
      <w:proofErr w:type="spellEnd"/>
      <w:r w:rsidRPr="00FB018A">
        <w:rPr>
          <w:lang w:val="de-DE"/>
        </w:rPr>
        <w:t xml:space="preserve"> ist eine der weltweit führenden Forschungseinrichtungen zur biologischen Landwirtschaft. Es hat Standorte in der Schweiz, in Deutschland, Österreich und Frankreich und mit </w:t>
      </w:r>
      <w:proofErr w:type="spellStart"/>
      <w:r w:rsidRPr="00FB018A">
        <w:rPr>
          <w:lang w:val="de-DE"/>
        </w:rPr>
        <w:t>FiBL</w:t>
      </w:r>
      <w:proofErr w:type="spellEnd"/>
      <w:r w:rsidRPr="00FB018A">
        <w:rPr>
          <w:lang w:val="de-DE"/>
        </w:rPr>
        <w:t xml:space="preserve"> Europe eine Vertretung in Brüssel (Belgien).</w:t>
      </w:r>
    </w:p>
    <w:p w14:paraId="68813B5A" w14:textId="238E9356" w:rsidR="00CD4B01" w:rsidRDefault="003E01D8" w:rsidP="00000544">
      <w:pPr>
        <w:pStyle w:val="FiBLmmzusatzinfo"/>
      </w:pPr>
      <w:proofErr w:type="spellStart"/>
      <w:r>
        <w:t>FiBL</w:t>
      </w:r>
      <w:proofErr w:type="spellEnd"/>
      <w:r>
        <w:t>-Kontakt</w:t>
      </w:r>
    </w:p>
    <w:p w14:paraId="40CED57F" w14:textId="70CB71CD" w:rsidR="00D43FD6" w:rsidRDefault="00FB018A" w:rsidP="00D43FD6">
      <w:pPr>
        <w:pStyle w:val="FiBLmmaufzhlungszeichen"/>
      </w:pPr>
      <w:r>
        <w:t xml:space="preserve">Andrea </w:t>
      </w:r>
      <w:proofErr w:type="spellStart"/>
      <w:r>
        <w:t>Fi</w:t>
      </w:r>
      <w:r w:rsidRPr="00FB018A">
        <w:rPr>
          <w:lang w:val="de-DE"/>
        </w:rPr>
        <w:t>č</w:t>
      </w:r>
      <w:r>
        <w:rPr>
          <w:lang w:val="de-DE"/>
        </w:rPr>
        <w:t>ala</w:t>
      </w:r>
      <w:proofErr w:type="spellEnd"/>
      <w:r>
        <w:t>, wissenschaftliche</w:t>
      </w:r>
      <w:r w:rsidR="00D43FD6">
        <w:t xml:space="preserve"> Mitarbeiter</w:t>
      </w:r>
      <w:r>
        <w:t>i</w:t>
      </w:r>
      <w:r w:rsidR="002E01F2">
        <w:t>n,</w:t>
      </w:r>
      <w:r w:rsidR="00D43FD6">
        <w:t xml:space="preserve"> </w:t>
      </w:r>
      <w:proofErr w:type="spellStart"/>
      <w:r w:rsidR="00D43FD6">
        <w:t>FiBL</w:t>
      </w:r>
      <w:proofErr w:type="spellEnd"/>
      <w:r w:rsidR="00D43FD6">
        <w:t xml:space="preserve"> Österreich</w:t>
      </w:r>
    </w:p>
    <w:p w14:paraId="59E13A5C" w14:textId="1AE0C66B" w:rsidR="003C6406" w:rsidRDefault="0001151E" w:rsidP="00D43FD6">
      <w:pPr>
        <w:pStyle w:val="FiBLmmaufzhlungszeichen"/>
        <w:numPr>
          <w:ilvl w:val="0"/>
          <w:numId w:val="0"/>
        </w:numPr>
        <w:ind w:left="426"/>
      </w:pPr>
      <w:r>
        <w:t>Tel</w:t>
      </w:r>
      <w:r w:rsidR="00866E96">
        <w:t xml:space="preserve"> +</w:t>
      </w:r>
      <w:r w:rsidR="00D43FD6">
        <w:t xml:space="preserve">43 </w:t>
      </w:r>
      <w:r w:rsidR="00FB018A">
        <w:t>(0)1 907 63 13 - 35</w:t>
      </w:r>
      <w:r w:rsidR="003E01D8">
        <w:t xml:space="preserve">, E-Mail </w:t>
      </w:r>
      <w:hyperlink r:id="rId13" w:history="1">
        <w:r w:rsidR="003E01D8" w:rsidRPr="00E21305">
          <w:rPr>
            <w:rStyle w:val="Hyperlink"/>
          </w:rPr>
          <w:t>andrea.ficala@fibl.org</w:t>
        </w:r>
      </w:hyperlink>
      <w:r w:rsidR="003E01D8">
        <w:t xml:space="preserve"> </w:t>
      </w:r>
    </w:p>
    <w:p w14:paraId="752DD35D" w14:textId="7A6615E4" w:rsidR="00195EC7" w:rsidRDefault="00195EC7" w:rsidP="00195EC7">
      <w:pPr>
        <w:pStyle w:val="FiBLmmzusatzinfo"/>
      </w:pPr>
      <w:r>
        <w:t>Links</w:t>
      </w:r>
    </w:p>
    <w:p w14:paraId="2614097E" w14:textId="645F30CC" w:rsidR="003E01D8" w:rsidRDefault="003E01D8" w:rsidP="003E01D8">
      <w:pPr>
        <w:pStyle w:val="FiBLmmaufzhlungszeichen"/>
      </w:pPr>
      <w:r w:rsidRPr="003E01D8">
        <w:t xml:space="preserve">Schule des Essens </w:t>
      </w:r>
      <w:hyperlink r:id="rId14" w:history="1">
        <w:r w:rsidRPr="00E21305">
          <w:rPr>
            <w:rStyle w:val="Hyperlink"/>
          </w:rPr>
          <w:t>www.schuledesessens.at</w:t>
        </w:r>
      </w:hyperlink>
    </w:p>
    <w:p w14:paraId="14C781AC" w14:textId="7459FE32" w:rsidR="003E01D8" w:rsidRDefault="003E01D8" w:rsidP="00895483">
      <w:pPr>
        <w:pStyle w:val="FiBLmmaufzhlungszeichen"/>
      </w:pPr>
      <w:proofErr w:type="spellStart"/>
      <w:r w:rsidRPr="003E01D8">
        <w:t>Fördercall</w:t>
      </w:r>
      <w:proofErr w:type="spellEnd"/>
      <w:r w:rsidR="00895483">
        <w:t xml:space="preserve"> „</w:t>
      </w:r>
      <w:r w:rsidRPr="003E01D8">
        <w:t>Klimawandel, nachhaltige Entwicklung und Gesundheit</w:t>
      </w:r>
      <w:r w:rsidR="00895483">
        <w:t>“</w:t>
      </w:r>
      <w:r w:rsidRPr="003E01D8">
        <w:t xml:space="preserve"> der Gesundheit</w:t>
      </w:r>
      <w:r w:rsidR="00895483">
        <w:t xml:space="preserve"> </w:t>
      </w:r>
      <w:r w:rsidRPr="003E01D8">
        <w:t xml:space="preserve">Österreich GmbH (GÖG) </w:t>
      </w:r>
      <w:hyperlink r:id="rId15" w:history="1">
        <w:r w:rsidRPr="00E21305">
          <w:rPr>
            <w:rStyle w:val="Hyperlink"/>
          </w:rPr>
          <w:t>www.goeg.at/Foerdercall_Klimawandel_Gesundheit</w:t>
        </w:r>
      </w:hyperlink>
    </w:p>
    <w:p w14:paraId="4C3C95D7" w14:textId="7DC1E515" w:rsidR="003E01D8" w:rsidRDefault="003E01D8" w:rsidP="003E01D8">
      <w:pPr>
        <w:pStyle w:val="FiBLmmaufzhlungszeichen"/>
      </w:pPr>
      <w:r w:rsidRPr="003E01D8">
        <w:t xml:space="preserve">Elektro </w:t>
      </w:r>
      <w:proofErr w:type="spellStart"/>
      <w:r w:rsidRPr="003E01D8">
        <w:t>Rauhofer</w:t>
      </w:r>
      <w:proofErr w:type="spellEnd"/>
      <w:r w:rsidRPr="003E01D8">
        <w:t xml:space="preserve"> GmbH &amp; Co KG </w:t>
      </w:r>
      <w:hyperlink r:id="rId16" w:history="1">
        <w:r w:rsidRPr="00E21305">
          <w:rPr>
            <w:rStyle w:val="Hyperlink"/>
          </w:rPr>
          <w:t>www.rauhofer.at</w:t>
        </w:r>
      </w:hyperlink>
    </w:p>
    <w:p w14:paraId="0C0E03B5" w14:textId="056520B5" w:rsidR="00D43FD6" w:rsidRPr="00A1027F" w:rsidRDefault="003E01D8" w:rsidP="003E01D8">
      <w:pPr>
        <w:pStyle w:val="FiBLmmaufzhlungszeichen"/>
      </w:pPr>
      <w:r w:rsidRPr="003E01D8">
        <w:t xml:space="preserve">Kompetenzzentrum Gesundheit und Klimaschutz </w:t>
      </w:r>
      <w:hyperlink r:id="rId17" w:history="1">
        <w:r w:rsidR="00895483" w:rsidRPr="008A6558">
          <w:rPr>
            <w:rStyle w:val="Hyperlink"/>
          </w:rPr>
          <w:t>https://orf.at/stories/3225213/</w:t>
        </w:r>
      </w:hyperlink>
      <w:r w:rsidR="00895483">
        <w:t xml:space="preserve"> </w:t>
      </w:r>
      <w:r w:rsidRPr="003E01D8">
        <w:t xml:space="preserve"> </w:t>
      </w:r>
      <w:r w:rsidR="00895483">
        <w:t xml:space="preserve"> </w:t>
      </w:r>
    </w:p>
    <w:p w14:paraId="10B0E2AA" w14:textId="77777777" w:rsidR="002A7256" w:rsidRDefault="002A7256" w:rsidP="00D43FD6">
      <w:pPr>
        <w:pStyle w:val="FiBLmmzusatzinfo"/>
      </w:pPr>
      <w:r>
        <w:t>Diese Medienmitteilung im Internet</w:t>
      </w:r>
    </w:p>
    <w:p w14:paraId="6CF4582A" w14:textId="77777777" w:rsidR="007C691F" w:rsidRDefault="007C691F" w:rsidP="007C691F">
      <w:pPr>
        <w:pStyle w:val="FiBLmmstandard"/>
      </w:pPr>
      <w:r>
        <w:t xml:space="preserve">Sie finden diese Medienmitteilung einschliesslich Bilder im Internet unter </w:t>
      </w:r>
      <w:hyperlink r:id="rId18" w:history="1">
        <w:r w:rsidR="00D43FD6" w:rsidRPr="00BF040B">
          <w:rPr>
            <w:rStyle w:val="Hyperlink"/>
          </w:rPr>
          <w:t>www.fibl.org/de/medien.html</w:t>
        </w:r>
      </w:hyperlink>
      <w:r w:rsidR="004B6C83">
        <w:t>.</w:t>
      </w:r>
    </w:p>
    <w:p w14:paraId="74E73D3D" w14:textId="77777777" w:rsidR="002C0814" w:rsidRPr="00A04F66" w:rsidRDefault="002C0814" w:rsidP="00A17E51">
      <w:pPr>
        <w:pStyle w:val="FiBLmmerluterungtitel"/>
      </w:pPr>
      <w:r w:rsidRPr="00A17E51">
        <w:t>Über</w:t>
      </w:r>
      <w:r w:rsidRPr="00A04F66">
        <w:t xml:space="preserve"> das </w:t>
      </w:r>
      <w:proofErr w:type="spellStart"/>
      <w:r w:rsidRPr="00A04F66">
        <w:t>FiBL</w:t>
      </w:r>
      <w:proofErr w:type="spellEnd"/>
    </w:p>
    <w:p w14:paraId="66254245" w14:textId="77777777" w:rsidR="002A7256" w:rsidRDefault="009B52A0" w:rsidP="002A7256">
      <w:pPr>
        <w:pStyle w:val="FiBLmmerluterung"/>
      </w:pPr>
      <w:r w:rsidRPr="009B52A0">
        <w:t xml:space="preserve">Das Forschungsinstitut für biologischen Landbau </w:t>
      </w:r>
      <w:proofErr w:type="spellStart"/>
      <w:r w:rsidRPr="009B52A0">
        <w:t>FiBL</w:t>
      </w:r>
      <w:proofErr w:type="spellEnd"/>
      <w:r w:rsidRPr="009B52A0">
        <w:t xml:space="preserve"> ist eine der weltweit führenden Forschungseinrichtungen zur Biolandwirtschaft. Die Stärken des </w:t>
      </w:r>
      <w:proofErr w:type="spellStart"/>
      <w:r w:rsidRPr="009B52A0">
        <w:t>FiBL</w:t>
      </w:r>
      <w:proofErr w:type="spellEnd"/>
      <w:r w:rsidRPr="009B52A0">
        <w:t xml:space="preserve"> sind interdisziplinäre Forschung, gemeinsame Innovationen mit Landwirten und der Lebensmittelbranche sowie ein rascher Wissenstransfer. An den verschiedenen </w:t>
      </w:r>
      <w:proofErr w:type="spellStart"/>
      <w:r w:rsidRPr="009B52A0">
        <w:t>FiBL</w:t>
      </w:r>
      <w:proofErr w:type="spellEnd"/>
      <w:r w:rsidRPr="009B52A0">
        <w:t>-Standorten sind 280 Mitarbeitende tätig.</w:t>
      </w:r>
    </w:p>
    <w:p w14:paraId="3E6C4DAC" w14:textId="77777777" w:rsidR="00F60E58" w:rsidRDefault="00F60E58" w:rsidP="00F60E58">
      <w:pPr>
        <w:pStyle w:val="FiBLmmerluterungaufzhlung"/>
      </w:pPr>
      <w:r>
        <w:t xml:space="preserve">Homepage: </w:t>
      </w:r>
      <w:hyperlink r:id="rId19" w:history="1">
        <w:r w:rsidRPr="00BB38E5">
          <w:rPr>
            <w:rStyle w:val="Hyperlink"/>
          </w:rPr>
          <w:t>www.fibl.org</w:t>
        </w:r>
      </w:hyperlink>
    </w:p>
    <w:p w14:paraId="5BEC9BF2" w14:textId="77777777" w:rsidR="004730C6" w:rsidRDefault="00F60E58" w:rsidP="00425CDF">
      <w:pPr>
        <w:pStyle w:val="FiBLmmerluterungaufzhlung"/>
      </w:pPr>
      <w:r>
        <w:t xml:space="preserve">Video: </w:t>
      </w:r>
      <w:hyperlink r:id="rId20" w:history="1">
        <w:r w:rsidR="001A2005" w:rsidRPr="00423D3F">
          <w:rPr>
            <w:rStyle w:val="Hyperlink"/>
          </w:rPr>
          <w:t>www.youtube.com/watch?v=Zs-dCLDUbQ0</w:t>
        </w:r>
      </w:hyperlink>
    </w:p>
    <w:sectPr w:rsidR="004730C6" w:rsidSect="001B31D5">
      <w:footerReference w:type="default" r:id="rId21"/>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F4063" w14:textId="77777777" w:rsidR="00F77C25" w:rsidRDefault="00F77C25" w:rsidP="00F53AA9">
      <w:pPr>
        <w:spacing w:after="0" w:line="240" w:lineRule="auto"/>
      </w:pPr>
      <w:r>
        <w:separator/>
      </w:r>
    </w:p>
  </w:endnote>
  <w:endnote w:type="continuationSeparator" w:id="0">
    <w:p w14:paraId="5C98E3C8" w14:textId="77777777" w:rsidR="00F77C25" w:rsidRDefault="00F77C2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1E116C1" w14:textId="77777777" w:rsidTr="00C16594">
      <w:trPr>
        <w:trHeight w:val="508"/>
      </w:trPr>
      <w:tc>
        <w:tcPr>
          <w:tcW w:w="7656" w:type="dxa"/>
        </w:tcPr>
        <w:p w14:paraId="342E0572" w14:textId="77777777" w:rsidR="005F17EE" w:rsidRDefault="00F73377" w:rsidP="005F17EE">
          <w:pPr>
            <w:pStyle w:val="FiBLmmfusszeile"/>
          </w:pPr>
          <w:r w:rsidRPr="008A6B50">
            <w:t xml:space="preserve">Forschungsinstitut für biologischen Landbau </w:t>
          </w:r>
          <w:proofErr w:type="spellStart"/>
          <w:r w:rsidRPr="008A6B50">
            <w:t>FiBL</w:t>
          </w:r>
          <w:proofErr w:type="spellEnd"/>
          <w:r w:rsidRPr="008A6B50">
            <w:t xml:space="preserve"> | </w:t>
          </w:r>
          <w:proofErr w:type="spellStart"/>
          <w:r w:rsidR="005F17EE">
            <w:t>Doblhoffgasse</w:t>
          </w:r>
          <w:proofErr w:type="spellEnd"/>
          <w:r w:rsidR="005F17EE">
            <w:t xml:space="preserve"> 7/10 | 1010 Wien</w:t>
          </w:r>
          <w:r w:rsidRPr="008A6B50">
            <w:t xml:space="preserve"> | </w:t>
          </w:r>
        </w:p>
        <w:p w14:paraId="74E32B44" w14:textId="5DC2BE20" w:rsidR="00F73377" w:rsidRPr="008A6B50" w:rsidRDefault="005F17EE" w:rsidP="005F17EE">
          <w:pPr>
            <w:pStyle w:val="FiBLmmfusszeile"/>
          </w:pPr>
          <w:r>
            <w:t>Österreich</w:t>
          </w:r>
          <w:r w:rsidR="001B2B79" w:rsidRPr="008A6B50">
            <w:t xml:space="preserve"> | </w:t>
          </w:r>
          <w:r w:rsidR="0001151E">
            <w:t>Tel</w:t>
          </w:r>
          <w:r w:rsidR="001B2B79">
            <w:t xml:space="preserve"> +4</w:t>
          </w:r>
          <w:r>
            <w:t>3</w:t>
          </w:r>
          <w:r w:rsidR="001B2B79">
            <w:t xml:space="preserve"> </w:t>
          </w:r>
          <w:r>
            <w:t>1 907 63 13 21</w:t>
          </w:r>
          <w:r w:rsidR="00F73377" w:rsidRPr="008A6B50">
            <w:t xml:space="preserve"> | </w:t>
          </w:r>
          <w:hyperlink r:id="rId1" w:history="1">
            <w:r w:rsidRPr="00866DA4">
              <w:rPr>
                <w:rStyle w:val="Hyperlink"/>
              </w:rPr>
              <w:t xml:space="preserve">info.oesterreich@fibl.org </w:t>
            </w:r>
          </w:hyperlink>
          <w:r w:rsidR="00F73377" w:rsidRPr="008A6B50">
            <w:t xml:space="preserve">| </w:t>
          </w:r>
          <w:hyperlink r:id="rId2">
            <w:r w:rsidR="00F73377" w:rsidRPr="008A6B50">
              <w:t>www.fibl.org</w:t>
            </w:r>
          </w:hyperlink>
        </w:p>
      </w:tc>
      <w:tc>
        <w:tcPr>
          <w:tcW w:w="407" w:type="dxa"/>
        </w:tcPr>
        <w:p w14:paraId="49FFB575" w14:textId="77777777" w:rsidR="00F73377" w:rsidRPr="008A6B50" w:rsidRDefault="00F73377" w:rsidP="00DA14CE">
          <w:pPr>
            <w:pStyle w:val="FiBLmmseitennummer"/>
          </w:pPr>
        </w:p>
      </w:tc>
    </w:tr>
  </w:tbl>
  <w:p w14:paraId="6332CE5E"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20B059A" w14:textId="77777777" w:rsidTr="0053530C">
      <w:trPr>
        <w:trHeight w:val="508"/>
      </w:trPr>
      <w:tc>
        <w:tcPr>
          <w:tcW w:w="4923" w:type="pct"/>
        </w:tcPr>
        <w:p w14:paraId="0AA8CA00" w14:textId="110A28B1" w:rsidR="00DA14CE" w:rsidRPr="001926E1" w:rsidRDefault="00DA14CE" w:rsidP="003E01D8">
          <w:pPr>
            <w:pStyle w:val="FiBLmmfusszeile"/>
          </w:pPr>
          <w:r>
            <w:t xml:space="preserve">Medienmitteilung vom </w:t>
          </w:r>
          <w:r w:rsidR="007E6D5B">
            <w:t>1</w:t>
          </w:r>
          <w:r w:rsidR="001615DA">
            <w:t>9</w:t>
          </w:r>
          <w:r w:rsidR="007E6D5B">
            <w:t>.1</w:t>
          </w:r>
          <w:r w:rsidR="003E01D8">
            <w:t>0</w:t>
          </w:r>
          <w:r w:rsidR="007E6D5B">
            <w:t>.202</w:t>
          </w:r>
          <w:r w:rsidR="003E01D8">
            <w:t>1</w:t>
          </w:r>
        </w:p>
      </w:tc>
      <w:tc>
        <w:tcPr>
          <w:tcW w:w="77" w:type="pct"/>
        </w:tcPr>
        <w:p w14:paraId="085A0F56"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8117A9">
            <w:rPr>
              <w:noProof/>
            </w:rPr>
            <w:t>3</w:t>
          </w:r>
          <w:r w:rsidRPr="00DA14CE">
            <w:fldChar w:fldCharType="end"/>
          </w:r>
        </w:p>
      </w:tc>
    </w:tr>
  </w:tbl>
  <w:p w14:paraId="7BE290A0"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8FC46" w14:textId="77777777" w:rsidR="00F77C25" w:rsidRDefault="00F77C25" w:rsidP="00F53AA9">
      <w:pPr>
        <w:spacing w:after="0" w:line="240" w:lineRule="auto"/>
      </w:pPr>
      <w:r>
        <w:separator/>
      </w:r>
    </w:p>
  </w:footnote>
  <w:footnote w:type="continuationSeparator" w:id="0">
    <w:p w14:paraId="464AA0F6" w14:textId="77777777" w:rsidR="00F77C25" w:rsidRDefault="00F77C25"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354"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28"/>
      <w:gridCol w:w="3888"/>
      <w:gridCol w:w="2052"/>
      <w:gridCol w:w="1886"/>
    </w:tblGrid>
    <w:tr w:rsidR="002E01F2" w14:paraId="5683534D" w14:textId="54DC6F6B" w:rsidTr="002E01F2">
      <w:trPr>
        <w:trHeight w:val="232"/>
      </w:trPr>
      <w:tc>
        <w:tcPr>
          <w:tcW w:w="1528" w:type="dxa"/>
        </w:tcPr>
        <w:p w14:paraId="1311CDA2" w14:textId="77777777" w:rsidR="002E01F2" w:rsidRPr="00C725B7" w:rsidRDefault="002E01F2" w:rsidP="007666E3">
          <w:pPr>
            <w:pStyle w:val="FiBLmmheader"/>
          </w:pPr>
          <w:r>
            <w:rPr>
              <w:noProof/>
              <w:lang w:val="de-DE" w:eastAsia="de-DE"/>
            </w:rPr>
            <w:drawing>
              <wp:inline distT="0" distB="0" distL="0" distR="0" wp14:anchorId="262758CB" wp14:editId="4E861AD1">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3888" w:type="dxa"/>
        </w:tcPr>
        <w:p w14:paraId="2D0A82C4" w14:textId="491429E2" w:rsidR="002E01F2" w:rsidRDefault="002E01F2" w:rsidP="002E01F2">
          <w:pPr>
            <w:tabs>
              <w:tab w:val="center" w:pos="2055"/>
            </w:tabs>
          </w:pPr>
          <w:r>
            <w:rPr>
              <w:noProof/>
              <w:lang w:val="de-DE" w:eastAsia="de-DE"/>
            </w:rPr>
            <w:drawing>
              <wp:anchor distT="0" distB="0" distL="114300" distR="114300" simplePos="0" relativeHeight="251661312" behindDoc="0" locked="0" layoutInCell="1" allowOverlap="1" wp14:anchorId="007BEFA9" wp14:editId="570D6039">
                <wp:simplePos x="0" y="0"/>
                <wp:positionH relativeFrom="column">
                  <wp:posOffset>47625</wp:posOffset>
                </wp:positionH>
                <wp:positionV relativeFrom="paragraph">
                  <wp:posOffset>9525</wp:posOffset>
                </wp:positionV>
                <wp:extent cx="480060" cy="708660"/>
                <wp:effectExtent l="0" t="0" r="0" b="0"/>
                <wp:wrapThrough wrapText="bothSides">
                  <wp:wrapPolygon edited="0">
                    <wp:start x="3429" y="0"/>
                    <wp:lineTo x="857" y="1742"/>
                    <wp:lineTo x="4286" y="9290"/>
                    <wp:lineTo x="0" y="11613"/>
                    <wp:lineTo x="0" y="12774"/>
                    <wp:lineTo x="857" y="20903"/>
                    <wp:lineTo x="19714" y="20903"/>
                    <wp:lineTo x="20571" y="18581"/>
                    <wp:lineTo x="20571" y="11613"/>
                    <wp:lineTo x="17143" y="9290"/>
                    <wp:lineTo x="19714" y="3484"/>
                    <wp:lineTo x="18000" y="581"/>
                    <wp:lineTo x="12000" y="0"/>
                    <wp:lineTo x="3429" y="0"/>
                  </wp:wrapPolygon>
                </wp:wrapThrough>
                <wp:docPr id="7" name="Bild 5"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7" name="Bild 5" descr="Ein Bild, das Text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0060" cy="708660"/>
                        </a:xfrm>
                        <a:prstGeom prst="rect">
                          <a:avLst/>
                        </a:prstGeom>
                      </pic:spPr>
                    </pic:pic>
                  </a:graphicData>
                </a:graphic>
                <wp14:sizeRelH relativeFrom="margin">
                  <wp14:pctWidth>0</wp14:pctWidth>
                </wp14:sizeRelH>
                <wp14:sizeRelV relativeFrom="margin">
                  <wp14:pctHeight>0</wp14:pctHeight>
                </wp14:sizeRelV>
              </wp:anchor>
            </w:drawing>
          </w:r>
          <w:r>
            <w:tab/>
          </w:r>
          <w:r>
            <w:rPr>
              <w:noProof/>
              <w:lang w:val="de-DE" w:eastAsia="de-DE"/>
            </w:rPr>
            <w:drawing>
              <wp:inline distT="0" distB="0" distL="0" distR="0" wp14:anchorId="6C9DDEA8" wp14:editId="7F73B183">
                <wp:extent cx="1737360" cy="684530"/>
                <wp:effectExtent l="0" t="0" r="0" b="127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7360" cy="684530"/>
                        </a:xfrm>
                        <a:prstGeom prst="rect">
                          <a:avLst/>
                        </a:prstGeom>
                        <a:noFill/>
                        <a:ln>
                          <a:noFill/>
                        </a:ln>
                      </pic:spPr>
                    </pic:pic>
                  </a:graphicData>
                </a:graphic>
              </wp:inline>
            </w:drawing>
          </w:r>
        </w:p>
      </w:tc>
      <w:tc>
        <w:tcPr>
          <w:tcW w:w="2052" w:type="dxa"/>
        </w:tcPr>
        <w:p w14:paraId="0747548D" w14:textId="5E6BC7A8" w:rsidR="002E01F2" w:rsidRDefault="002E01F2" w:rsidP="002E01F2">
          <w:pPr>
            <w:tabs>
              <w:tab w:val="left" w:pos="345"/>
              <w:tab w:val="right" w:pos="7653"/>
            </w:tabs>
          </w:pPr>
          <w:r>
            <w:rPr>
              <w:noProof/>
              <w:lang w:val="de-DE" w:eastAsia="de-DE"/>
            </w:rPr>
            <w:drawing>
              <wp:anchor distT="0" distB="0" distL="114300" distR="114300" simplePos="0" relativeHeight="251662336" behindDoc="0" locked="0" layoutInCell="1" allowOverlap="1" wp14:anchorId="138E718F" wp14:editId="4E88061A">
                <wp:simplePos x="0" y="0"/>
                <wp:positionH relativeFrom="column">
                  <wp:posOffset>154305</wp:posOffset>
                </wp:positionH>
                <wp:positionV relativeFrom="paragraph">
                  <wp:posOffset>3810</wp:posOffset>
                </wp:positionV>
                <wp:extent cx="762000" cy="762000"/>
                <wp:effectExtent l="0" t="0" r="0" b="0"/>
                <wp:wrapSquare wrapText="bothSides"/>
                <wp:docPr id="244" name="Bild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86" w:type="dxa"/>
        </w:tcPr>
        <w:p w14:paraId="27AB3CE8" w14:textId="4ADF5516" w:rsidR="002E01F2" w:rsidRDefault="002E01F2" w:rsidP="002E01F2">
          <w:pPr>
            <w:tabs>
              <w:tab w:val="left" w:pos="345"/>
              <w:tab w:val="right" w:pos="7653"/>
            </w:tabs>
            <w:rPr>
              <w:noProof/>
              <w:lang w:val="de-DE" w:eastAsia="de-DE"/>
            </w:rPr>
          </w:pPr>
          <w:r>
            <w:rPr>
              <w:noProof/>
              <w:lang w:val="de-DE" w:eastAsia="de-DE"/>
            </w:rPr>
            <w:drawing>
              <wp:anchor distT="0" distB="0" distL="114300" distR="114300" simplePos="0" relativeHeight="251663360" behindDoc="0" locked="0" layoutInCell="1" allowOverlap="1" wp14:anchorId="68D1153C" wp14:editId="782FD783">
                <wp:simplePos x="0" y="0"/>
                <wp:positionH relativeFrom="column">
                  <wp:posOffset>12700</wp:posOffset>
                </wp:positionH>
                <wp:positionV relativeFrom="paragraph">
                  <wp:posOffset>236220</wp:posOffset>
                </wp:positionV>
                <wp:extent cx="1134110" cy="274320"/>
                <wp:effectExtent l="0" t="0" r="889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4110" cy="274320"/>
                        </a:xfrm>
                        <a:prstGeom prst="rect">
                          <a:avLst/>
                        </a:prstGeom>
                        <a:noFill/>
                      </pic:spPr>
                    </pic:pic>
                  </a:graphicData>
                </a:graphic>
              </wp:anchor>
            </w:drawing>
          </w:r>
        </w:p>
      </w:tc>
    </w:tr>
  </w:tbl>
  <w:p w14:paraId="071FA604" w14:textId="66684461"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5FC484A"/>
    <w:multiLevelType w:val="hybridMultilevel"/>
    <w:tmpl w:val="21CE60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8E70074"/>
    <w:multiLevelType w:val="hybridMultilevel"/>
    <w:tmpl w:val="0B82EC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00544"/>
    <w:rsid w:val="00007A18"/>
    <w:rsid w:val="0001151E"/>
    <w:rsid w:val="00075B35"/>
    <w:rsid w:val="0008157D"/>
    <w:rsid w:val="00097E74"/>
    <w:rsid w:val="000A0CF7"/>
    <w:rsid w:val="000A3B13"/>
    <w:rsid w:val="000B5156"/>
    <w:rsid w:val="000C75D0"/>
    <w:rsid w:val="000D41CE"/>
    <w:rsid w:val="000D5714"/>
    <w:rsid w:val="000D7A27"/>
    <w:rsid w:val="000F2BE9"/>
    <w:rsid w:val="001050BE"/>
    <w:rsid w:val="00107221"/>
    <w:rsid w:val="001354F8"/>
    <w:rsid w:val="001366DE"/>
    <w:rsid w:val="00146772"/>
    <w:rsid w:val="001615DA"/>
    <w:rsid w:val="00164C87"/>
    <w:rsid w:val="0017068A"/>
    <w:rsid w:val="0018434A"/>
    <w:rsid w:val="001926E1"/>
    <w:rsid w:val="00195EC7"/>
    <w:rsid w:val="001A2005"/>
    <w:rsid w:val="001B2B79"/>
    <w:rsid w:val="001B31D5"/>
    <w:rsid w:val="001B3DB5"/>
    <w:rsid w:val="001E1C11"/>
    <w:rsid w:val="001F27C8"/>
    <w:rsid w:val="001F529F"/>
    <w:rsid w:val="00211862"/>
    <w:rsid w:val="002203DD"/>
    <w:rsid w:val="002219A6"/>
    <w:rsid w:val="0022639B"/>
    <w:rsid w:val="00230924"/>
    <w:rsid w:val="00280674"/>
    <w:rsid w:val="002925F1"/>
    <w:rsid w:val="002A7256"/>
    <w:rsid w:val="002B1D53"/>
    <w:rsid w:val="002C0814"/>
    <w:rsid w:val="002C3506"/>
    <w:rsid w:val="002D757B"/>
    <w:rsid w:val="002D7D78"/>
    <w:rsid w:val="002E01F2"/>
    <w:rsid w:val="002E414D"/>
    <w:rsid w:val="002F586A"/>
    <w:rsid w:val="003150C5"/>
    <w:rsid w:val="003847CC"/>
    <w:rsid w:val="003A4191"/>
    <w:rsid w:val="003C3779"/>
    <w:rsid w:val="003C4537"/>
    <w:rsid w:val="003C6406"/>
    <w:rsid w:val="003D1138"/>
    <w:rsid w:val="003E01D8"/>
    <w:rsid w:val="003E5C36"/>
    <w:rsid w:val="0041671F"/>
    <w:rsid w:val="00423C89"/>
    <w:rsid w:val="00425CDF"/>
    <w:rsid w:val="0044286A"/>
    <w:rsid w:val="00446B90"/>
    <w:rsid w:val="00450F2F"/>
    <w:rsid w:val="00453BD9"/>
    <w:rsid w:val="004570C7"/>
    <w:rsid w:val="00465871"/>
    <w:rsid w:val="0046602F"/>
    <w:rsid w:val="004730C6"/>
    <w:rsid w:val="004762FE"/>
    <w:rsid w:val="004807B1"/>
    <w:rsid w:val="00487CDE"/>
    <w:rsid w:val="004B347D"/>
    <w:rsid w:val="004B6C83"/>
    <w:rsid w:val="004C4067"/>
    <w:rsid w:val="004D0109"/>
    <w:rsid w:val="004D6428"/>
    <w:rsid w:val="004E2D3B"/>
    <w:rsid w:val="004F613F"/>
    <w:rsid w:val="00504028"/>
    <w:rsid w:val="0053530C"/>
    <w:rsid w:val="00540B0E"/>
    <w:rsid w:val="00540DAE"/>
    <w:rsid w:val="00555C7D"/>
    <w:rsid w:val="00571E3B"/>
    <w:rsid w:val="00580C94"/>
    <w:rsid w:val="005867AD"/>
    <w:rsid w:val="005938C8"/>
    <w:rsid w:val="0059401F"/>
    <w:rsid w:val="005D0989"/>
    <w:rsid w:val="005F1359"/>
    <w:rsid w:val="005F17EE"/>
    <w:rsid w:val="005F5A7E"/>
    <w:rsid w:val="006410F4"/>
    <w:rsid w:val="00661678"/>
    <w:rsid w:val="0066529D"/>
    <w:rsid w:val="00666824"/>
    <w:rsid w:val="0067476B"/>
    <w:rsid w:val="00681E9E"/>
    <w:rsid w:val="006D0FF6"/>
    <w:rsid w:val="006D4D11"/>
    <w:rsid w:val="006E612A"/>
    <w:rsid w:val="00712776"/>
    <w:rsid w:val="00727486"/>
    <w:rsid w:val="00735267"/>
    <w:rsid w:val="00736F11"/>
    <w:rsid w:val="00754508"/>
    <w:rsid w:val="00764E69"/>
    <w:rsid w:val="007666E3"/>
    <w:rsid w:val="00783BE6"/>
    <w:rsid w:val="0078787E"/>
    <w:rsid w:val="00793238"/>
    <w:rsid w:val="007A051D"/>
    <w:rsid w:val="007A0D20"/>
    <w:rsid w:val="007C6110"/>
    <w:rsid w:val="007C691F"/>
    <w:rsid w:val="007C7E19"/>
    <w:rsid w:val="007D212E"/>
    <w:rsid w:val="007E6D5B"/>
    <w:rsid w:val="007F2027"/>
    <w:rsid w:val="008117A9"/>
    <w:rsid w:val="00817B94"/>
    <w:rsid w:val="00823157"/>
    <w:rsid w:val="008417D3"/>
    <w:rsid w:val="00861053"/>
    <w:rsid w:val="00866E96"/>
    <w:rsid w:val="00870F62"/>
    <w:rsid w:val="00872371"/>
    <w:rsid w:val="00895483"/>
    <w:rsid w:val="008A5E8C"/>
    <w:rsid w:val="008A6B50"/>
    <w:rsid w:val="008A7F32"/>
    <w:rsid w:val="008D48AD"/>
    <w:rsid w:val="00903748"/>
    <w:rsid w:val="009109C1"/>
    <w:rsid w:val="00912F05"/>
    <w:rsid w:val="009669B5"/>
    <w:rsid w:val="00981742"/>
    <w:rsid w:val="00982A03"/>
    <w:rsid w:val="00985973"/>
    <w:rsid w:val="00986F71"/>
    <w:rsid w:val="009B52A0"/>
    <w:rsid w:val="009C0B90"/>
    <w:rsid w:val="009C0F61"/>
    <w:rsid w:val="009C7E54"/>
    <w:rsid w:val="00A033E7"/>
    <w:rsid w:val="00A04F66"/>
    <w:rsid w:val="00A1027F"/>
    <w:rsid w:val="00A135C6"/>
    <w:rsid w:val="00A17E51"/>
    <w:rsid w:val="00A27464"/>
    <w:rsid w:val="00A365ED"/>
    <w:rsid w:val="00A57050"/>
    <w:rsid w:val="00A624F0"/>
    <w:rsid w:val="00A83320"/>
    <w:rsid w:val="00AA295A"/>
    <w:rsid w:val="00AC6487"/>
    <w:rsid w:val="00B06148"/>
    <w:rsid w:val="00B116CC"/>
    <w:rsid w:val="00B11B61"/>
    <w:rsid w:val="00B169A5"/>
    <w:rsid w:val="00B25F0B"/>
    <w:rsid w:val="00B273DE"/>
    <w:rsid w:val="00B44024"/>
    <w:rsid w:val="00BB6309"/>
    <w:rsid w:val="00BB7AF8"/>
    <w:rsid w:val="00BC05AC"/>
    <w:rsid w:val="00C10742"/>
    <w:rsid w:val="00C14AA4"/>
    <w:rsid w:val="00C16594"/>
    <w:rsid w:val="00C50896"/>
    <w:rsid w:val="00C54E7B"/>
    <w:rsid w:val="00C725B7"/>
    <w:rsid w:val="00C73E52"/>
    <w:rsid w:val="00C8256D"/>
    <w:rsid w:val="00C93A6C"/>
    <w:rsid w:val="00CC3D03"/>
    <w:rsid w:val="00CD4B01"/>
    <w:rsid w:val="00CE1A38"/>
    <w:rsid w:val="00CF4CEC"/>
    <w:rsid w:val="00D142E7"/>
    <w:rsid w:val="00D20589"/>
    <w:rsid w:val="00D25E6E"/>
    <w:rsid w:val="00D30CEA"/>
    <w:rsid w:val="00D43FD6"/>
    <w:rsid w:val="00D7727C"/>
    <w:rsid w:val="00D82FEC"/>
    <w:rsid w:val="00DA14CE"/>
    <w:rsid w:val="00DA287C"/>
    <w:rsid w:val="00DA5D86"/>
    <w:rsid w:val="00DC15AC"/>
    <w:rsid w:val="00DD0000"/>
    <w:rsid w:val="00DE44EA"/>
    <w:rsid w:val="00E02948"/>
    <w:rsid w:val="00E06042"/>
    <w:rsid w:val="00E26382"/>
    <w:rsid w:val="00E32B51"/>
    <w:rsid w:val="00E433A3"/>
    <w:rsid w:val="00E64975"/>
    <w:rsid w:val="00E71FBF"/>
    <w:rsid w:val="00ED0946"/>
    <w:rsid w:val="00EE2D4C"/>
    <w:rsid w:val="00EF726D"/>
    <w:rsid w:val="00F07B60"/>
    <w:rsid w:val="00F21C5E"/>
    <w:rsid w:val="00F463DB"/>
    <w:rsid w:val="00F53AA9"/>
    <w:rsid w:val="00F60E58"/>
    <w:rsid w:val="00F6745D"/>
    <w:rsid w:val="00F73377"/>
    <w:rsid w:val="00F77045"/>
    <w:rsid w:val="00F77C25"/>
    <w:rsid w:val="00FB018A"/>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CB862"/>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Kommentarzeichen">
    <w:name w:val="annotation reference"/>
    <w:basedOn w:val="Absatz-Standardschriftart"/>
    <w:uiPriority w:val="99"/>
    <w:semiHidden/>
    <w:rsid w:val="0067476B"/>
    <w:rPr>
      <w:sz w:val="16"/>
      <w:szCs w:val="16"/>
    </w:rPr>
  </w:style>
  <w:style w:type="paragraph" w:styleId="Kommentartext">
    <w:name w:val="annotation text"/>
    <w:basedOn w:val="Standard"/>
    <w:link w:val="KommentartextZchn"/>
    <w:uiPriority w:val="99"/>
    <w:semiHidden/>
    <w:rsid w:val="0067476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476B"/>
    <w:rPr>
      <w:sz w:val="20"/>
      <w:szCs w:val="20"/>
    </w:rPr>
  </w:style>
  <w:style w:type="paragraph" w:styleId="Kommentarthema">
    <w:name w:val="annotation subject"/>
    <w:basedOn w:val="Kommentartext"/>
    <w:next w:val="Kommentartext"/>
    <w:link w:val="KommentarthemaZchn"/>
    <w:uiPriority w:val="99"/>
    <w:semiHidden/>
    <w:rsid w:val="0067476B"/>
    <w:rPr>
      <w:b/>
      <w:bCs/>
    </w:rPr>
  </w:style>
  <w:style w:type="character" w:customStyle="1" w:styleId="KommentarthemaZchn">
    <w:name w:val="Kommentarthema Zchn"/>
    <w:basedOn w:val="KommentartextZchn"/>
    <w:link w:val="Kommentarthema"/>
    <w:uiPriority w:val="99"/>
    <w:semiHidden/>
    <w:rsid w:val="006747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ficala@fibl.org" TargetMode="External"/><Relationship Id="rId18" Type="http://schemas.openxmlformats.org/officeDocument/2006/relationships/hyperlink" Target="http://www.fibl.org/de/medien.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rf.at/stories/3225213/" TargetMode="External"/><Relationship Id="rId2" Type="http://schemas.openxmlformats.org/officeDocument/2006/relationships/customXml" Target="../customXml/item2.xml"/><Relationship Id="rId16" Type="http://schemas.openxmlformats.org/officeDocument/2006/relationships/hyperlink" Target="http://www.rauhofer.at" TargetMode="External"/><Relationship Id="rId20" Type="http://schemas.openxmlformats.org/officeDocument/2006/relationships/hyperlink" Target="http://www.youtube.com/watch?v=Zs-dCLDUbQ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goeg.at/Foerdercall_Klimawandel_Gesundhe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huledesessens.a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oesterreich@fibl.org%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cc3431f56ec274bbd9ab2455b4d0b0ad">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10aed6f72c39a098e1b642a5ae5c4fd8"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93F07815-12FD-4058-8186-81347A62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5E53DFEC-D7EC-4116-A23D-27DB672C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5145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Klingbacher Elisabeth</cp:lastModifiedBy>
  <cp:revision>6</cp:revision>
  <cp:lastPrinted>2017-07-05T15:05:00Z</cp:lastPrinted>
  <dcterms:created xsi:type="dcterms:W3CDTF">2021-10-14T14:17:00Z</dcterms:created>
  <dcterms:modified xsi:type="dcterms:W3CDTF">2021-10-19T13:50:00Z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