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66F05B5C" w14:textId="0AE5A91B" w:rsidR="00102FB0" w:rsidRPr="00102FB0" w:rsidRDefault="003B06B9" w:rsidP="00102FB0">
      <w:pPr>
        <w:pStyle w:val="FiBLmmtitel"/>
        <w:rPr>
          <w:lang w:val="de-DE"/>
        </w:rPr>
      </w:pPr>
      <w:r w:rsidRPr="003B06B9">
        <w:rPr>
          <w:lang w:val="de-DE"/>
        </w:rPr>
        <w:t>Das Tierwohl-Kompetenzzentrum Schaf nimmt seine Arbeit auf</w:t>
      </w:r>
    </w:p>
    <w:p w14:paraId="018848C5" w14:textId="7A8E2588" w:rsidR="00BE2489" w:rsidRDefault="003B06B9" w:rsidP="00BE2489">
      <w:pPr>
        <w:spacing w:after="0" w:line="360" w:lineRule="atLeast"/>
        <w:rPr>
          <w:rFonts w:ascii="Arial" w:hAnsi="Arial" w:cs="Arial"/>
          <w:b/>
          <w:sz w:val="22"/>
        </w:rPr>
      </w:pPr>
      <w:r w:rsidRPr="003B06B9">
        <w:rPr>
          <w:rFonts w:ascii="Arial" w:hAnsi="Arial" w:cs="Arial"/>
          <w:b/>
          <w:sz w:val="22"/>
        </w:rPr>
        <w:t xml:space="preserve">Ziel des dreijährigen Vorhabens ist es, eine Bündelung von </w:t>
      </w:r>
      <w:r>
        <w:rPr>
          <w:rFonts w:ascii="Arial" w:hAnsi="Arial" w:cs="Arial"/>
          <w:b/>
          <w:sz w:val="22"/>
        </w:rPr>
        <w:t>K</w:t>
      </w:r>
      <w:r w:rsidRPr="003B06B9">
        <w:rPr>
          <w:rFonts w:ascii="Arial" w:hAnsi="Arial" w:cs="Arial"/>
          <w:b/>
          <w:sz w:val="22"/>
        </w:rPr>
        <w:t>ompetenzen für Tiergesundheit und Tierwohl beim Schaf zu erzielen und Haltungs- sowie Zuchtempfehlungen für schafhaltende Betriebe zu entwickeln. Dies geschieht unter besonderer Berücksichtigung der Selektion auf Kurzschwänzigkeit bzw. der optimierten Haltung langschwänziger Schafrassen.</w:t>
      </w:r>
      <w:r w:rsidR="00035ED6">
        <w:rPr>
          <w:rFonts w:ascii="Arial" w:hAnsi="Arial" w:cs="Arial"/>
          <w:b/>
          <w:sz w:val="22"/>
        </w:rPr>
        <w:t xml:space="preserve"> Der</w:t>
      </w:r>
      <w:r w:rsidR="008F5C42">
        <w:rPr>
          <w:rFonts w:ascii="Arial" w:hAnsi="Arial" w:cs="Arial"/>
          <w:b/>
          <w:sz w:val="22"/>
        </w:rPr>
        <w:t xml:space="preserve"> FiBL Deutschland e.V. übernimmt dabei den Wissenstransfer.</w:t>
      </w:r>
    </w:p>
    <w:p w14:paraId="7EDD98F3" w14:textId="77777777" w:rsidR="003B06B9" w:rsidRPr="00E349D0" w:rsidRDefault="003B06B9" w:rsidP="00BE2489">
      <w:pPr>
        <w:spacing w:after="0" w:line="360" w:lineRule="atLeast"/>
        <w:rPr>
          <w:rFonts w:ascii="Arial" w:hAnsi="Arial" w:cs="Arial"/>
          <w:b/>
          <w:sz w:val="22"/>
        </w:rPr>
      </w:pPr>
    </w:p>
    <w:p w14:paraId="1344187D" w14:textId="48DF3B53" w:rsidR="003B06B9" w:rsidRPr="003B06B9" w:rsidRDefault="00E06042" w:rsidP="003B06B9">
      <w:pPr>
        <w:spacing w:after="0" w:line="360" w:lineRule="atLeast"/>
        <w:rPr>
          <w:rFonts w:ascii="Palatino Linotype" w:hAnsi="Palatino Linotype" w:cs="Arial"/>
          <w:szCs w:val="20"/>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035ED6">
        <w:rPr>
          <w:rFonts w:ascii="Palatino Linotype" w:hAnsi="Palatino Linotype" w:cs="Arial"/>
          <w:szCs w:val="20"/>
        </w:rPr>
        <w:t>1.11</w:t>
      </w:r>
      <w:r w:rsidRPr="0001262C">
        <w:rPr>
          <w:rFonts w:ascii="Palatino Linotype" w:hAnsi="Palatino Linotype" w:cs="Arial"/>
          <w:szCs w:val="20"/>
        </w:rPr>
        <w:t>.</w:t>
      </w:r>
      <w:r w:rsidR="006D5407" w:rsidRPr="0001262C">
        <w:rPr>
          <w:rFonts w:ascii="Palatino Linotype" w:hAnsi="Palatino Linotype" w:cs="Arial"/>
          <w:szCs w:val="20"/>
        </w:rPr>
        <w:t>2021</w:t>
      </w:r>
      <w:r w:rsidRPr="0001262C">
        <w:rPr>
          <w:rFonts w:ascii="Palatino Linotype" w:hAnsi="Palatino Linotype" w:cs="Arial"/>
          <w:szCs w:val="20"/>
        </w:rPr>
        <w:t>)</w:t>
      </w:r>
      <w:r w:rsidR="00FC703A" w:rsidRPr="0001262C">
        <w:rPr>
          <w:rFonts w:ascii="Palatino Linotype" w:hAnsi="Palatino Linotype" w:cs="Arial"/>
          <w:szCs w:val="20"/>
        </w:rPr>
        <w:t xml:space="preserve"> </w:t>
      </w:r>
      <w:r w:rsidR="003B06B9" w:rsidRPr="003B06B9">
        <w:rPr>
          <w:rFonts w:ascii="Palatino Linotype" w:hAnsi="Palatino Linotype" w:cs="Arial"/>
          <w:szCs w:val="20"/>
        </w:rPr>
        <w:t xml:space="preserve">Die Gesamtkoordination des Vorhabens wird durch den Landesbetrieb Landwirtschaft Hessen (LLH) übernommen. Hier wurden in den letzten Jahren umfangreiche Vorerfahrungen im Rahmen des Tierschutz-Kompetenzzentrums gewonnen. „Wir sind sehr stolz die Möglichkeit zur Fortführung unserer bisherigen Arbeit zum Kupierverzicht beim Schaf zu erhalten“, so Natascha Klinkel, Projektleiterin beim LLH. </w:t>
      </w:r>
    </w:p>
    <w:p w14:paraId="366C362C" w14:textId="2063DD87" w:rsidR="003B06B9" w:rsidRPr="003B06B9" w:rsidRDefault="003B06B9" w:rsidP="003B06B9">
      <w:pPr>
        <w:spacing w:after="0" w:line="360" w:lineRule="atLeast"/>
        <w:rPr>
          <w:rFonts w:ascii="Palatino Linotype" w:hAnsi="Palatino Linotype" w:cs="Arial"/>
          <w:szCs w:val="20"/>
        </w:rPr>
      </w:pPr>
      <w:r w:rsidRPr="003B06B9">
        <w:rPr>
          <w:rFonts w:ascii="Palatino Linotype" w:hAnsi="Palatino Linotype" w:cs="Arial"/>
          <w:szCs w:val="20"/>
        </w:rPr>
        <w:t>Gemeinsam mit dem Institut für Tierzucht der Justus-Liebig-Universität (JLU) Gießen ist es Projektinhalt der Arbeitsgruppe von Prof. Dr. Sven König einen Gesamtzuchtwert „Tierwohl“ zu entwickeln. Die dazu benötigten Daten werden auf Praxisbetrieben bundesweit erhoben, die sich für eine Teilnahme am Projekt bewerben können. Ihnen wird es ermöglicht, sich unmittelbar auf den Kupierverzicht beim Schaf vorzubereiten. Wissen, welches sich in der Netzwerkarbeit der Modell- und Demonstrationsvorhaben Tierschutz in sechs bundesweiten Schäfereien bewährt hat, soll nun aufbereitet und geteilt werden. „Als Schwachstelle bei der erfolgreichen Haltung unkupierter Schafe und für eine nachhaltige Selektion auf Kurzschwänzigkeit hat sich dabei die mangelhafte Möglichkeit zur Dokumentation gezeigt.“, erklärt Martin Steffens (LLH), der die Beratung in den Betrieben übernahm. Aus diesem Grund wird nun ein -</w:t>
      </w:r>
      <w:r w:rsidR="009F509B">
        <w:rPr>
          <w:rFonts w:ascii="Palatino Linotype" w:hAnsi="Palatino Linotype" w:cs="Arial"/>
          <w:szCs w:val="20"/>
        </w:rPr>
        <w:t xml:space="preserve"> </w:t>
      </w:r>
      <w:r w:rsidRPr="003B06B9">
        <w:rPr>
          <w:rFonts w:ascii="Palatino Linotype" w:hAnsi="Palatino Linotype" w:cs="Arial"/>
          <w:szCs w:val="20"/>
        </w:rPr>
        <w:t>auf dem bereits bekannten Zuchtprogramm OVICAP basierendes</w:t>
      </w:r>
      <w:r w:rsidR="009F509B">
        <w:rPr>
          <w:rFonts w:ascii="Palatino Linotype" w:hAnsi="Palatino Linotype" w:cs="Arial"/>
          <w:szCs w:val="20"/>
        </w:rPr>
        <w:t xml:space="preserve"> </w:t>
      </w:r>
      <w:r w:rsidRPr="003B06B9">
        <w:rPr>
          <w:rFonts w:ascii="Palatino Linotype" w:hAnsi="Palatino Linotype" w:cs="Arial"/>
          <w:szCs w:val="20"/>
        </w:rPr>
        <w:t xml:space="preserve">- Managementtool in Zusammenarbeit mit der Vereinigung Deutscher Landesschafzuchtverbände e.V. (VDL) und der Firma Vereinigte Informationssysteme Tierhaltung (VIT) entwickelt. </w:t>
      </w:r>
    </w:p>
    <w:p w14:paraId="706709C0" w14:textId="77777777" w:rsidR="003B06B9" w:rsidRPr="003B06B9" w:rsidRDefault="003B06B9" w:rsidP="003B06B9">
      <w:pPr>
        <w:spacing w:after="0" w:line="360" w:lineRule="atLeast"/>
        <w:rPr>
          <w:rFonts w:ascii="Palatino Linotype" w:hAnsi="Palatino Linotype" w:cs="Arial"/>
          <w:szCs w:val="20"/>
        </w:rPr>
      </w:pPr>
      <w:r w:rsidRPr="003B06B9">
        <w:rPr>
          <w:rFonts w:ascii="Palatino Linotype" w:hAnsi="Palatino Linotype" w:cs="Arial"/>
          <w:szCs w:val="20"/>
        </w:rPr>
        <w:lastRenderedPageBreak/>
        <w:t xml:space="preserve">Um keine Abstriche bei der Tiergesundheit und der Reproduktion der Schafe zuzulassen ist die Klinik für Geburtshilfe, Gynäkologie und Andrologie der Groß- und Kleintiere mit Tierärztlicher Ambulanz der JLU unter Leitung von Prof. Dr. Axel Wehrend mit Dr. Henrik Wagner am Projekt beteiligt. Der Fachtierarzt für kleine Wiederkäuer Dr. Henrik Wagner (JLU) möchte durch die wiederholte Datenerhebung am Tier feststellen, welche genetischen Korrelationen mit der Haltung unkupierter Schafe, bzw. der gezielten Selektion auf Kurzschwänzigkeit einhergehen. „Die Folgenabschätzung für die Tiergesundheit und Reproduktion ist Ziel dieser umfangreichen Arbeiten auf den teilnehmenden Betrieben.“, sagt Dr. Henrik Wagner. </w:t>
      </w:r>
    </w:p>
    <w:p w14:paraId="3BEE0DCD" w14:textId="77777777" w:rsidR="003B06B9" w:rsidRPr="003B06B9" w:rsidRDefault="003B06B9" w:rsidP="003B06B9">
      <w:pPr>
        <w:spacing w:after="0" w:line="360" w:lineRule="atLeast"/>
        <w:rPr>
          <w:rFonts w:ascii="Palatino Linotype" w:hAnsi="Palatino Linotype" w:cs="Arial"/>
          <w:szCs w:val="20"/>
        </w:rPr>
      </w:pPr>
      <w:r w:rsidRPr="003B06B9">
        <w:rPr>
          <w:rFonts w:ascii="Palatino Linotype" w:hAnsi="Palatino Linotype" w:cs="Arial"/>
          <w:szCs w:val="20"/>
        </w:rPr>
        <w:t xml:space="preserve">Durch Online- und Präsenzveranstaltungen sowie Lehrvideos soll das generierte Wissen zeitnah in die Praxis gespiegelt werden. Diese Aufgabe übernimmt das FiBL Deutschland e.V. im Rahmen des „Tierwohl-Kompetenzzentrums Schaf“. </w:t>
      </w:r>
    </w:p>
    <w:p w14:paraId="36943F79" w14:textId="77777777" w:rsidR="003B06B9" w:rsidRPr="003B06B9" w:rsidRDefault="003B06B9" w:rsidP="003B06B9">
      <w:pPr>
        <w:spacing w:after="0" w:line="360" w:lineRule="atLeast"/>
        <w:rPr>
          <w:rFonts w:ascii="Palatino Linotype" w:hAnsi="Palatino Linotype" w:cs="Arial"/>
          <w:szCs w:val="20"/>
        </w:rPr>
      </w:pPr>
      <w:r w:rsidRPr="003B06B9">
        <w:rPr>
          <w:rFonts w:ascii="Palatino Linotype" w:hAnsi="Palatino Linotype" w:cs="Arial"/>
          <w:szCs w:val="20"/>
        </w:rPr>
        <w:t>Die Förderung des Vorhabens erfolgt aus Mitteln des Bundesministeriums für Ernährung und Landwirtschaft (BMEL) aufgrund eines Beschlusses des deutschen Bundestages. Die Projektträgerschaft übernimmt die Bundesanstalt für Landwirtschaft und Ernährung (BLE) im Rahmen des Bundesprogrammes Nutztierhaltung.</w:t>
      </w:r>
    </w:p>
    <w:p w14:paraId="7419FF1E" w14:textId="77777777" w:rsidR="00996618" w:rsidRDefault="00996618" w:rsidP="003B06B9">
      <w:pPr>
        <w:spacing w:after="0" w:line="360" w:lineRule="atLeast"/>
        <w:rPr>
          <w:rFonts w:ascii="Palatino Linotype" w:hAnsi="Palatino Linotype" w:cs="Arial"/>
          <w:b/>
          <w:szCs w:val="20"/>
        </w:rPr>
      </w:pPr>
    </w:p>
    <w:p w14:paraId="7053E22A" w14:textId="77777777" w:rsidR="003B06B9" w:rsidRPr="003B06B9" w:rsidRDefault="003B06B9" w:rsidP="003B06B9">
      <w:pPr>
        <w:spacing w:after="0" w:line="360" w:lineRule="atLeast"/>
        <w:rPr>
          <w:rFonts w:ascii="Palatino Linotype" w:hAnsi="Palatino Linotype" w:cs="Arial"/>
          <w:b/>
          <w:szCs w:val="20"/>
        </w:rPr>
      </w:pPr>
      <w:r w:rsidRPr="003B06B9">
        <w:rPr>
          <w:rFonts w:ascii="Palatino Linotype" w:hAnsi="Palatino Linotype" w:cs="Arial"/>
          <w:b/>
          <w:szCs w:val="20"/>
        </w:rPr>
        <w:t>Aufruf zur Teilnahme</w:t>
      </w:r>
    </w:p>
    <w:p w14:paraId="0BBFB434" w14:textId="610822B3" w:rsidR="003B06B9" w:rsidRDefault="003B06B9" w:rsidP="003B06B9">
      <w:pPr>
        <w:spacing w:after="0" w:line="360" w:lineRule="atLeast"/>
        <w:rPr>
          <w:rFonts w:ascii="Palatino Linotype" w:hAnsi="Palatino Linotype" w:cs="Arial"/>
          <w:szCs w:val="20"/>
        </w:rPr>
      </w:pPr>
      <w:r w:rsidRPr="003B06B9">
        <w:rPr>
          <w:rFonts w:ascii="Palatino Linotype" w:hAnsi="Palatino Linotype" w:cs="Arial"/>
          <w:szCs w:val="20"/>
        </w:rPr>
        <w:t xml:space="preserve">Zur Mitarbeit im Projekt werden deutschlandweit 20 schafhaltende Betriebe gesucht. Voraussetzungen, Möglichkeiten der Unterstützung der Betriebe und ein Fragebogen zur Bewerbung sind unter </w:t>
      </w:r>
      <w:hyperlink r:id="rId9" w:history="1">
        <w:r w:rsidR="006F61D1" w:rsidRPr="006F61D1">
          <w:rPr>
            <w:rStyle w:val="Hyperlink"/>
            <w:rFonts w:ascii="Palatino Linotype" w:hAnsi="Palatino Linotype" w:cs="Arial"/>
            <w:szCs w:val="20"/>
          </w:rPr>
          <w:t>www.nutztierhaltung.de/schaf/schafhaltende-betriebe-gesucht/</w:t>
        </w:r>
      </w:hyperlink>
      <w:bookmarkStart w:id="0" w:name="_GoBack"/>
      <w:bookmarkEnd w:id="0"/>
      <w:r w:rsidRPr="003B06B9">
        <w:rPr>
          <w:rFonts w:ascii="Palatino Linotype" w:hAnsi="Palatino Linotype" w:cs="Arial"/>
          <w:szCs w:val="20"/>
        </w:rPr>
        <w:t xml:space="preserve"> zu finden. Die Bewerbung ist bis zum 26.11.2021 möglich. Für Fragen zur Teilnahme am Projekt wird eine Online-Informationsveranstaltung am </w:t>
      </w:r>
      <w:r w:rsidRPr="00996618">
        <w:rPr>
          <w:rFonts w:ascii="Palatino Linotype" w:hAnsi="Palatino Linotype" w:cs="Arial"/>
          <w:b/>
          <w:szCs w:val="20"/>
        </w:rPr>
        <w:t>9.11.2021 (19 Uhr)</w:t>
      </w:r>
      <w:r w:rsidRPr="003B06B9">
        <w:rPr>
          <w:rFonts w:ascii="Palatino Linotype" w:hAnsi="Palatino Linotype" w:cs="Arial"/>
          <w:szCs w:val="20"/>
        </w:rPr>
        <w:t xml:space="preserve"> für interessierte schafhaltende Betriebe angeboten. Die Einwahldaten zur Informationsveranstaltung erhalten sie unter </w:t>
      </w:r>
      <w:r w:rsidRPr="00996618">
        <w:rPr>
          <w:rFonts w:ascii="Palatino Linotype" w:hAnsi="Palatino Linotype" w:cs="Arial"/>
          <w:b/>
          <w:szCs w:val="20"/>
        </w:rPr>
        <w:t>twz-schaf@llh.hessen.de</w:t>
      </w:r>
      <w:r w:rsidR="00996618" w:rsidRPr="00996618">
        <w:rPr>
          <w:rFonts w:ascii="Palatino Linotype" w:hAnsi="Palatino Linotype" w:cs="Arial"/>
          <w:szCs w:val="20"/>
        </w:rPr>
        <w:t>.</w:t>
      </w:r>
      <w:r w:rsidRPr="00996618">
        <w:rPr>
          <w:rFonts w:ascii="Palatino Linotype" w:hAnsi="Palatino Linotype" w:cs="Arial"/>
          <w:szCs w:val="20"/>
        </w:rPr>
        <w:t xml:space="preserve"> </w:t>
      </w:r>
    </w:p>
    <w:p w14:paraId="0B7D8CBE" w14:textId="77777777" w:rsidR="003B06B9" w:rsidRDefault="003B06B9" w:rsidP="003B06B9">
      <w:pPr>
        <w:spacing w:after="0" w:line="360" w:lineRule="atLeast"/>
        <w:rPr>
          <w:rFonts w:ascii="Palatino Linotype" w:hAnsi="Palatino Linotype" w:cs="Arial"/>
          <w:szCs w:val="20"/>
        </w:rPr>
      </w:pPr>
    </w:p>
    <w:p w14:paraId="3EEAA029" w14:textId="5470EE94" w:rsidR="00237BF6" w:rsidRPr="007A3882" w:rsidRDefault="00237BF6" w:rsidP="003B06B9">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2B8D4310" w14:textId="2950FA09" w:rsidR="007A12BC" w:rsidRPr="007A12BC" w:rsidRDefault="0001262C" w:rsidP="007A12BC">
      <w:pPr>
        <w:spacing w:after="0" w:line="240" w:lineRule="auto"/>
        <w:jc w:val="both"/>
        <w:rPr>
          <w:rFonts w:ascii="Palatino Linotype" w:hAnsi="Palatino Linotype"/>
          <w:i/>
          <w:iCs/>
        </w:rPr>
      </w:pPr>
      <w:r>
        <w:rPr>
          <w:rFonts w:ascii="Palatino Linotype" w:hAnsi="Palatino Linotype"/>
          <w:i/>
          <w:iCs/>
        </w:rPr>
        <w:t>Als Teil des Bundesprogramms Nutztierhaltung fördert das Bundesministerium für Ernährung und Landwirtschaft (BMEL) den Aufbau des</w:t>
      </w:r>
      <w:r w:rsidR="003B06B9">
        <w:rPr>
          <w:rFonts w:ascii="Palatino Linotype" w:hAnsi="Palatino Linotype"/>
          <w:i/>
          <w:iCs/>
        </w:rPr>
        <w:t xml:space="preserve"> Tierwohl-Kompetenzzentrums Schaf.</w:t>
      </w:r>
      <w:r>
        <w:rPr>
          <w:rFonts w:ascii="Palatino Linotype" w:hAnsi="Palatino Linotype"/>
          <w:i/>
          <w:iCs/>
        </w:rPr>
        <w:t xml:space="preserve"> </w:t>
      </w:r>
      <w:r w:rsidR="007A12BC" w:rsidRPr="007A12BC">
        <w:rPr>
          <w:rFonts w:ascii="Palatino Linotype" w:hAnsi="Palatino Linotype"/>
          <w:i/>
          <w:iCs/>
        </w:rPr>
        <w:t>Der Verzicht auf den nicht kurativen Eingriff des Schwänzekupierens bei Schaflämmern bedarf des optimierten Herdenmanagements und der Selektion von kurzschwänzigen Phänotypen. Erfahrungen, die aus Vorprojekten vorliegen und die in den teilnehmenden Betrieben gewonnen werden, sollen dem Wissenstransfer in die Praxis zugeführt werden. In Präsenz- als auch Onlineschulungen, Workshops auf den Betrieben und durch Lehrvideos sollen Handlungsempfehlungen für andere Betriebe zur Verfügung gestellt werden. Insbesondere durch die erstmalige evidenzbasierte Auswertung von bundesweiten Tierschutzfällen und die Erstellung einer entsprechenden Datenbank hierzu kann die Beratung und der Wissenstransfer auf eine weitere Säule gehoben werden.</w:t>
      </w:r>
      <w:r w:rsidR="007A12BC">
        <w:rPr>
          <w:rFonts w:ascii="Palatino Linotype" w:hAnsi="Palatino Linotype"/>
          <w:i/>
          <w:iCs/>
        </w:rPr>
        <w:t xml:space="preserve"> </w:t>
      </w:r>
      <w:r w:rsidR="007A12BC" w:rsidRPr="007A12BC">
        <w:rPr>
          <w:rFonts w:ascii="Palatino Linotype" w:hAnsi="Palatino Linotype"/>
          <w:i/>
          <w:iCs/>
        </w:rPr>
        <w:t xml:space="preserve">Inwiefern sich der Kupierverzicht auf die Tiergesundheit, </w:t>
      </w:r>
      <w:r w:rsidR="007A12BC" w:rsidRPr="007A12BC">
        <w:rPr>
          <w:rFonts w:ascii="Palatino Linotype" w:hAnsi="Palatino Linotype"/>
          <w:i/>
          <w:iCs/>
        </w:rPr>
        <w:lastRenderedPageBreak/>
        <w:t xml:space="preserve">einen wichtigen Aspekt des Tierwohls, auswirkt, ist bisher nicht nachgewiesen. Zur Bearbeitung dieser Fragestellung werden deutschlandweit Daten in schafhaltenden Betrieben generiert, die auch als Grundlage für die Entwicklung eines Gesamtzuchtwerts „Tierwohl“ dienen können. Damit kann auch durch die Zuchtbetriebe eine zukunftsweisende Umsetzung des Tierschutzgedankens Rechnung getragen werden. Für das Herdenmanagement wird unter Bedacht auf die neuen betrieblichen Herausforderungen ein neuartiges Managementtool entwickelt. </w:t>
      </w:r>
    </w:p>
    <w:p w14:paraId="706E8587" w14:textId="7E1BAF67" w:rsidR="007A12BC" w:rsidRPr="007A12BC" w:rsidRDefault="003B06B9" w:rsidP="007A12BC">
      <w:pPr>
        <w:spacing w:after="0" w:line="240" w:lineRule="auto"/>
        <w:jc w:val="both"/>
        <w:rPr>
          <w:rFonts w:ascii="Palatino Linotype" w:hAnsi="Palatino Linotype"/>
          <w:i/>
          <w:iCs/>
        </w:rPr>
      </w:pPr>
      <w:r>
        <w:rPr>
          <w:rFonts w:ascii="Palatino Linotype" w:hAnsi="Palatino Linotype"/>
          <w:i/>
          <w:iCs/>
        </w:rPr>
        <w:t>Koordiniert vom Landesbetrieb Landwirtschaft Hessen (LLH) wird zusammen mit de</w:t>
      </w:r>
      <w:r w:rsidR="00E93FF6">
        <w:rPr>
          <w:rFonts w:ascii="Palatino Linotype" w:hAnsi="Palatino Linotype"/>
          <w:i/>
          <w:iCs/>
        </w:rPr>
        <w:t>n Bereichen Veterinärmedizin und Zucht</w:t>
      </w:r>
      <w:r>
        <w:rPr>
          <w:rFonts w:ascii="Palatino Linotype" w:hAnsi="Palatino Linotype"/>
          <w:i/>
          <w:iCs/>
        </w:rPr>
        <w:t xml:space="preserve"> </w:t>
      </w:r>
      <w:r w:rsidR="00E93FF6">
        <w:rPr>
          <w:rFonts w:ascii="Palatino Linotype" w:hAnsi="Palatino Linotype"/>
          <w:i/>
          <w:iCs/>
        </w:rPr>
        <w:t xml:space="preserve">der </w:t>
      </w:r>
      <w:r>
        <w:rPr>
          <w:rFonts w:ascii="Palatino Linotype" w:hAnsi="Palatino Linotype"/>
          <w:i/>
          <w:iCs/>
        </w:rPr>
        <w:t>Justus-Liebig-Universität in Gießen (JLU)</w:t>
      </w:r>
      <w:r w:rsidR="00E93FF6">
        <w:rPr>
          <w:rFonts w:ascii="Palatino Linotype" w:hAnsi="Palatino Linotype"/>
          <w:i/>
          <w:iCs/>
        </w:rPr>
        <w:t xml:space="preserve"> </w:t>
      </w:r>
      <w:r w:rsidR="007A12BC">
        <w:rPr>
          <w:rFonts w:ascii="Palatino Linotype" w:hAnsi="Palatino Linotype"/>
          <w:i/>
          <w:iCs/>
        </w:rPr>
        <w:t xml:space="preserve">im Rahmen des Projektes </w:t>
      </w:r>
      <w:r w:rsidR="00E93FF6">
        <w:rPr>
          <w:rFonts w:ascii="Palatino Linotype" w:hAnsi="Palatino Linotype"/>
          <w:i/>
          <w:iCs/>
        </w:rPr>
        <w:t>am Verzicht auf das Kupieren von Schwänzen bei Schafen gearbeitet.  D</w:t>
      </w:r>
      <w:r w:rsidR="00A10795">
        <w:rPr>
          <w:rFonts w:ascii="Palatino Linotype" w:hAnsi="Palatino Linotype"/>
          <w:i/>
          <w:iCs/>
        </w:rPr>
        <w:t>er</w:t>
      </w:r>
      <w:r>
        <w:rPr>
          <w:rFonts w:ascii="Palatino Linotype" w:hAnsi="Palatino Linotype"/>
          <w:i/>
          <w:iCs/>
        </w:rPr>
        <w:t xml:space="preserve"> FiBL Deutschland e.V. </w:t>
      </w:r>
      <w:r w:rsidR="00A10795">
        <w:rPr>
          <w:rFonts w:ascii="Palatino Linotype" w:hAnsi="Palatino Linotype"/>
          <w:i/>
          <w:iCs/>
        </w:rPr>
        <w:t>ist</w:t>
      </w:r>
      <w:r w:rsidR="00166655">
        <w:rPr>
          <w:rFonts w:ascii="Palatino Linotype" w:hAnsi="Palatino Linotype"/>
          <w:i/>
          <w:iCs/>
        </w:rPr>
        <w:t xml:space="preserve"> i</w:t>
      </w:r>
      <w:r w:rsidR="00E93FF6">
        <w:rPr>
          <w:rFonts w:ascii="Palatino Linotype" w:hAnsi="Palatino Linotype"/>
          <w:i/>
          <w:iCs/>
        </w:rPr>
        <w:t xml:space="preserve">n diesem Zusammenhang </w:t>
      </w:r>
      <w:r w:rsidR="00166655">
        <w:rPr>
          <w:rFonts w:ascii="Palatino Linotype" w:hAnsi="Palatino Linotype"/>
          <w:i/>
          <w:iCs/>
        </w:rPr>
        <w:t xml:space="preserve">für den </w:t>
      </w:r>
      <w:r w:rsidR="00E93FF6">
        <w:rPr>
          <w:rFonts w:ascii="Palatino Linotype" w:hAnsi="Palatino Linotype"/>
          <w:i/>
          <w:iCs/>
        </w:rPr>
        <w:t>Wissenstransfer in die Praxis</w:t>
      </w:r>
      <w:r w:rsidR="00166655">
        <w:rPr>
          <w:rFonts w:ascii="Palatino Linotype" w:hAnsi="Palatino Linotype"/>
          <w:i/>
          <w:iCs/>
        </w:rPr>
        <w:t xml:space="preserve"> verantwortlich</w:t>
      </w:r>
      <w:r w:rsidR="00E93FF6">
        <w:rPr>
          <w:rFonts w:ascii="Palatino Linotype" w:hAnsi="Palatino Linotype"/>
          <w:i/>
          <w:iCs/>
        </w:rPr>
        <w:t xml:space="preserve">. </w:t>
      </w:r>
    </w:p>
    <w:p w14:paraId="5979FEF9" w14:textId="5506B695" w:rsidR="0001262C" w:rsidRPr="00A13735" w:rsidRDefault="0001262C" w:rsidP="003C0FAA">
      <w:pPr>
        <w:spacing w:after="0" w:line="360" w:lineRule="exact"/>
        <w:rPr>
          <w:rFonts w:ascii="Palatino Linotype" w:hAnsi="Palatino Linotype"/>
          <w:i/>
          <w:iCs/>
        </w:rPr>
      </w:pPr>
    </w:p>
    <w:p w14:paraId="4548C57E" w14:textId="1C2958D6"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2063C8">
        <w:rPr>
          <w:rFonts w:ascii="Palatino Linotype" w:hAnsi="Palatino Linotype" w:cs="Arial"/>
          <w:szCs w:val="20"/>
        </w:rPr>
        <w:t>339</w:t>
      </w:r>
      <w:r w:rsidR="00BF1BB3">
        <w:rPr>
          <w:rFonts w:ascii="Palatino Linotype" w:hAnsi="Palatino Linotype" w:cs="Arial"/>
          <w:szCs w:val="20"/>
        </w:rPr>
        <w:t>3</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5F957F49" w:rsidR="00CD4B01" w:rsidRPr="00D76B7B" w:rsidRDefault="00CD4B01" w:rsidP="003C0FAA">
      <w:pPr>
        <w:pStyle w:val="FiBLmmzusatzinfo"/>
        <w:spacing w:after="0"/>
        <w:rPr>
          <w:lang w:val="de-DE"/>
        </w:rPr>
      </w:pPr>
      <w:bookmarkStart w:id="1" w:name="_Hlk82072404"/>
      <w:r w:rsidRPr="00D76B7B">
        <w:rPr>
          <w:lang w:val="de-DE"/>
        </w:rPr>
        <w:t>FiBL-Kontakt</w:t>
      </w:r>
    </w:p>
    <w:p w14:paraId="0594B359" w14:textId="029CF327" w:rsidR="003C6406" w:rsidRPr="006D5407" w:rsidRDefault="006D5407" w:rsidP="00BB5926">
      <w:pPr>
        <w:pStyle w:val="FiBLmmaufzhlungszeichen"/>
        <w:numPr>
          <w:ilvl w:val="0"/>
          <w:numId w:val="0"/>
        </w:numPr>
        <w:spacing w:after="0"/>
        <w:rPr>
          <w:lang w:val="en-GB"/>
        </w:rPr>
      </w:pPr>
      <w:r w:rsidRPr="006D5407">
        <w:rPr>
          <w:lang w:val="en-GB"/>
        </w:rPr>
        <w:t xml:space="preserve">Dr. </w:t>
      </w:r>
      <w:r w:rsidR="003B06B9">
        <w:rPr>
          <w:lang w:val="en-GB"/>
        </w:rPr>
        <w:t>Gudrun Plesch</w:t>
      </w:r>
      <w:r w:rsidR="00BB5926">
        <w:rPr>
          <w:lang w:val="en-GB"/>
        </w:rPr>
        <w:t xml:space="preserve">, </w:t>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w:t>
      </w:r>
      <w:r w:rsidR="003B06B9">
        <w:rPr>
          <w:lang w:val="en-GB"/>
        </w:rPr>
        <w:t>20</w:t>
      </w:r>
      <w:r w:rsidR="00866E96" w:rsidRPr="006D5407">
        <w:rPr>
          <w:lang w:val="en-GB"/>
        </w:rPr>
        <w:t xml:space="preserve">, E-Mail </w:t>
      </w:r>
      <w:r w:rsidR="003B06B9">
        <w:rPr>
          <w:lang w:val="en-GB"/>
        </w:rPr>
        <w:t>gudrun.plesch</w:t>
      </w:r>
      <w:r>
        <w:rPr>
          <w:lang w:val="en-GB"/>
        </w:rPr>
        <w:t>@fibl.org</w:t>
      </w:r>
    </w:p>
    <w:bookmarkEnd w:id="1"/>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0"/>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2773A" w14:textId="77777777" w:rsidR="0042118A" w:rsidRDefault="0042118A" w:rsidP="00F53AA9">
      <w:pPr>
        <w:spacing w:after="0" w:line="240" w:lineRule="auto"/>
      </w:pPr>
      <w:r>
        <w:separator/>
      </w:r>
    </w:p>
  </w:endnote>
  <w:endnote w:type="continuationSeparator" w:id="0">
    <w:p w14:paraId="7B9BB6F5" w14:textId="77777777" w:rsidR="0042118A" w:rsidRDefault="0042118A"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7CA6D0A7" w:rsidR="00892A45" w:rsidRPr="001926E1" w:rsidRDefault="00892A45" w:rsidP="00C21DCD">
          <w:pPr>
            <w:pStyle w:val="FiBLmmfusszeile"/>
            <w:spacing w:line="240" w:lineRule="auto"/>
            <w:ind w:right="0"/>
          </w:pPr>
          <w:r>
            <w:t xml:space="preserve">Medienmitteilung vom </w:t>
          </w:r>
          <w:r w:rsidR="00A10795">
            <w:t>01.11</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6F61D1">
            <w:rPr>
              <w:noProof/>
            </w:rPr>
            <w:t>2</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8159E" w14:textId="77777777" w:rsidR="0042118A" w:rsidRDefault="0042118A" w:rsidP="00F53AA9">
      <w:pPr>
        <w:spacing w:after="0" w:line="240" w:lineRule="auto"/>
      </w:pPr>
      <w:r>
        <w:separator/>
      </w:r>
    </w:p>
  </w:footnote>
  <w:footnote w:type="continuationSeparator" w:id="0">
    <w:p w14:paraId="68E17468" w14:textId="77777777" w:rsidR="0042118A" w:rsidRDefault="0042118A"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35ED6"/>
    <w:rsid w:val="00052EC7"/>
    <w:rsid w:val="00075B35"/>
    <w:rsid w:val="0008157D"/>
    <w:rsid w:val="00097E74"/>
    <w:rsid w:val="000A0CF7"/>
    <w:rsid w:val="000A3B13"/>
    <w:rsid w:val="000B5156"/>
    <w:rsid w:val="000C75D0"/>
    <w:rsid w:val="000D5714"/>
    <w:rsid w:val="000D7A27"/>
    <w:rsid w:val="000F2BE9"/>
    <w:rsid w:val="00102FB0"/>
    <w:rsid w:val="001050BE"/>
    <w:rsid w:val="00107221"/>
    <w:rsid w:val="00132BFB"/>
    <w:rsid w:val="001354F8"/>
    <w:rsid w:val="001366DE"/>
    <w:rsid w:val="00142D2C"/>
    <w:rsid w:val="00146772"/>
    <w:rsid w:val="0015217C"/>
    <w:rsid w:val="00166655"/>
    <w:rsid w:val="0017068A"/>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7BF6"/>
    <w:rsid w:val="00237F78"/>
    <w:rsid w:val="002540B3"/>
    <w:rsid w:val="00280674"/>
    <w:rsid w:val="002925F1"/>
    <w:rsid w:val="00296114"/>
    <w:rsid w:val="002A1AB1"/>
    <w:rsid w:val="002B1D53"/>
    <w:rsid w:val="002C0814"/>
    <w:rsid w:val="002C20C6"/>
    <w:rsid w:val="002C3506"/>
    <w:rsid w:val="002D50B4"/>
    <w:rsid w:val="002D757B"/>
    <w:rsid w:val="002D7D78"/>
    <w:rsid w:val="002E414D"/>
    <w:rsid w:val="002F586A"/>
    <w:rsid w:val="003150C5"/>
    <w:rsid w:val="00354884"/>
    <w:rsid w:val="003847CC"/>
    <w:rsid w:val="003A4191"/>
    <w:rsid w:val="003B06B9"/>
    <w:rsid w:val="003C0178"/>
    <w:rsid w:val="003C0FAA"/>
    <w:rsid w:val="003C3779"/>
    <w:rsid w:val="003C4537"/>
    <w:rsid w:val="003C6406"/>
    <w:rsid w:val="003D1138"/>
    <w:rsid w:val="003E5C36"/>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40351"/>
    <w:rsid w:val="00540B0E"/>
    <w:rsid w:val="00540DAE"/>
    <w:rsid w:val="00555C7D"/>
    <w:rsid w:val="00571E3B"/>
    <w:rsid w:val="00580C94"/>
    <w:rsid w:val="005867AD"/>
    <w:rsid w:val="005938C8"/>
    <w:rsid w:val="0059401F"/>
    <w:rsid w:val="005D0989"/>
    <w:rsid w:val="005F1359"/>
    <w:rsid w:val="005F5A7E"/>
    <w:rsid w:val="00630EFA"/>
    <w:rsid w:val="006410F4"/>
    <w:rsid w:val="00661678"/>
    <w:rsid w:val="0066529D"/>
    <w:rsid w:val="0068001A"/>
    <w:rsid w:val="00681E9E"/>
    <w:rsid w:val="006D0FF6"/>
    <w:rsid w:val="006D4D11"/>
    <w:rsid w:val="006D5407"/>
    <w:rsid w:val="006E612A"/>
    <w:rsid w:val="006F61D1"/>
    <w:rsid w:val="00712776"/>
    <w:rsid w:val="0071711F"/>
    <w:rsid w:val="00727486"/>
    <w:rsid w:val="00736F11"/>
    <w:rsid w:val="00754508"/>
    <w:rsid w:val="00764E69"/>
    <w:rsid w:val="007666E3"/>
    <w:rsid w:val="00783BE6"/>
    <w:rsid w:val="0078787E"/>
    <w:rsid w:val="00793238"/>
    <w:rsid w:val="007A051D"/>
    <w:rsid w:val="007A0D20"/>
    <w:rsid w:val="007A12BC"/>
    <w:rsid w:val="007A3882"/>
    <w:rsid w:val="007C6110"/>
    <w:rsid w:val="007C7E19"/>
    <w:rsid w:val="00817B94"/>
    <w:rsid w:val="00823157"/>
    <w:rsid w:val="00833146"/>
    <w:rsid w:val="008417D3"/>
    <w:rsid w:val="00861053"/>
    <w:rsid w:val="00866E96"/>
    <w:rsid w:val="00872371"/>
    <w:rsid w:val="00882E41"/>
    <w:rsid w:val="00892A45"/>
    <w:rsid w:val="008A5E8C"/>
    <w:rsid w:val="008A6B50"/>
    <w:rsid w:val="008D48AD"/>
    <w:rsid w:val="008F5C42"/>
    <w:rsid w:val="009109C1"/>
    <w:rsid w:val="00912F05"/>
    <w:rsid w:val="00921AD1"/>
    <w:rsid w:val="00924214"/>
    <w:rsid w:val="00940431"/>
    <w:rsid w:val="009669B5"/>
    <w:rsid w:val="0097441A"/>
    <w:rsid w:val="00981742"/>
    <w:rsid w:val="00982A03"/>
    <w:rsid w:val="00986F71"/>
    <w:rsid w:val="00996618"/>
    <w:rsid w:val="009A68C5"/>
    <w:rsid w:val="009C0B90"/>
    <w:rsid w:val="009C0F61"/>
    <w:rsid w:val="009C7E54"/>
    <w:rsid w:val="009F509B"/>
    <w:rsid w:val="00A033E7"/>
    <w:rsid w:val="00A04F66"/>
    <w:rsid w:val="00A10795"/>
    <w:rsid w:val="00A135C6"/>
    <w:rsid w:val="00A17E51"/>
    <w:rsid w:val="00A27464"/>
    <w:rsid w:val="00A3040E"/>
    <w:rsid w:val="00A33D43"/>
    <w:rsid w:val="00A365ED"/>
    <w:rsid w:val="00A561D0"/>
    <w:rsid w:val="00A57050"/>
    <w:rsid w:val="00A624F0"/>
    <w:rsid w:val="00A62E33"/>
    <w:rsid w:val="00A83320"/>
    <w:rsid w:val="00AA295A"/>
    <w:rsid w:val="00AC4A7F"/>
    <w:rsid w:val="00AC6487"/>
    <w:rsid w:val="00B020D8"/>
    <w:rsid w:val="00B116CC"/>
    <w:rsid w:val="00B11B61"/>
    <w:rsid w:val="00B1295F"/>
    <w:rsid w:val="00B169A5"/>
    <w:rsid w:val="00B25F0B"/>
    <w:rsid w:val="00B273DE"/>
    <w:rsid w:val="00B44024"/>
    <w:rsid w:val="00BB5926"/>
    <w:rsid w:val="00BB6309"/>
    <w:rsid w:val="00BB7AF8"/>
    <w:rsid w:val="00BC05AC"/>
    <w:rsid w:val="00BD655B"/>
    <w:rsid w:val="00BE2489"/>
    <w:rsid w:val="00BF1BB3"/>
    <w:rsid w:val="00C10742"/>
    <w:rsid w:val="00C14AA4"/>
    <w:rsid w:val="00C21DCD"/>
    <w:rsid w:val="00C345B6"/>
    <w:rsid w:val="00C35C7C"/>
    <w:rsid w:val="00C50896"/>
    <w:rsid w:val="00C54E7B"/>
    <w:rsid w:val="00C725B7"/>
    <w:rsid w:val="00C73E52"/>
    <w:rsid w:val="00C8256D"/>
    <w:rsid w:val="00C93A6C"/>
    <w:rsid w:val="00CA3918"/>
    <w:rsid w:val="00CC3D03"/>
    <w:rsid w:val="00CD4B01"/>
    <w:rsid w:val="00CD79FD"/>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4975"/>
    <w:rsid w:val="00E71FBF"/>
    <w:rsid w:val="00E93FF6"/>
    <w:rsid w:val="00EB7712"/>
    <w:rsid w:val="00ED0946"/>
    <w:rsid w:val="00EE2D4C"/>
    <w:rsid w:val="00EF52FE"/>
    <w:rsid w:val="00EF726D"/>
    <w:rsid w:val="00F07B60"/>
    <w:rsid w:val="00F21C5E"/>
    <w:rsid w:val="00F463DB"/>
    <w:rsid w:val="00F53AA9"/>
    <w:rsid w:val="00F6096B"/>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utztierhaltung.de/schaf/schafhaltende-betriebe-gesuc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6620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Tierwohl-Kompetenzzentrum Schaf nimmt seine Arbeit auf - Pressemitteilung</dc:title>
  <dc:subject/>
  <dc:creator>FiBL Deutschland e.V.</dc:creator>
  <cp:keywords/>
  <cp:lastModifiedBy>Snigula Jasmin</cp:lastModifiedBy>
  <cp:revision>11</cp:revision>
  <cp:lastPrinted>2021-03-02T18:41:00Z</cp:lastPrinted>
  <dcterms:created xsi:type="dcterms:W3CDTF">2021-10-27T09:44:00Z</dcterms:created>
  <dcterms:modified xsi:type="dcterms:W3CDTF">2021-11-01T09:56:00Z</dcterms:modified>
</cp:coreProperties>
</file>