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D5E24" w14:textId="77777777" w:rsidR="004762FE" w:rsidRPr="00D76B7B" w:rsidRDefault="004762FE" w:rsidP="003E5C36">
      <w:pPr>
        <w:pStyle w:val="FiBLmmzwischentitel"/>
        <w:rPr>
          <w:lang w:val="de-DE"/>
        </w:rPr>
        <w:sectPr w:rsidR="004762FE" w:rsidRPr="00D76B7B" w:rsidSect="00453BD9">
          <w:headerReference w:type="default" r:id="rId7"/>
          <w:footerReference w:type="default" r:id="rId8"/>
          <w:type w:val="continuous"/>
          <w:pgSz w:w="11906" w:h="16838"/>
          <w:pgMar w:top="2268" w:right="1985" w:bottom="1701" w:left="2268" w:header="1134" w:footer="567" w:gutter="0"/>
          <w:cols w:space="708"/>
          <w:docGrid w:linePitch="360"/>
        </w:sectPr>
      </w:pPr>
      <w:r w:rsidRPr="00D76B7B">
        <w:rPr>
          <w:lang w:val="de-DE"/>
        </w:rPr>
        <w:t xml:space="preserve">Medienmitteilung </w:t>
      </w:r>
    </w:p>
    <w:p w14:paraId="32316FB5" w14:textId="3B473DDA" w:rsidR="00DE44EA" w:rsidRPr="0057022C" w:rsidRDefault="006F35A8" w:rsidP="00DE44EA">
      <w:pPr>
        <w:pStyle w:val="FiBLmmtitel"/>
        <w:rPr>
          <w:lang w:val="de-DE"/>
        </w:rPr>
      </w:pPr>
      <w:bookmarkStart w:id="0" w:name="_GoBack"/>
      <w:r>
        <w:rPr>
          <w:lang w:val="de-DE"/>
        </w:rPr>
        <w:t xml:space="preserve">Mit neuen Praxisleitfäden </w:t>
      </w:r>
      <w:r w:rsidR="00F02DC7">
        <w:rPr>
          <w:lang w:val="de-DE"/>
        </w:rPr>
        <w:t xml:space="preserve">Kontaminationen vermeiden </w:t>
      </w:r>
    </w:p>
    <w:bookmarkEnd w:id="0"/>
    <w:p w14:paraId="2D974A6C" w14:textId="49C36CB9" w:rsidR="0057022C" w:rsidRDefault="006F35A8" w:rsidP="00DE44EA">
      <w:pPr>
        <w:pStyle w:val="FiBLmmlead"/>
        <w:rPr>
          <w:lang w:val="de-DE"/>
        </w:rPr>
      </w:pPr>
      <w:r>
        <w:rPr>
          <w:lang w:val="de-DE"/>
        </w:rPr>
        <w:t>F</w:t>
      </w:r>
      <w:r w:rsidRPr="006F35A8">
        <w:rPr>
          <w:lang w:val="de-DE"/>
        </w:rPr>
        <w:t xml:space="preserve">ür die Bio-Branche </w:t>
      </w:r>
      <w:r>
        <w:rPr>
          <w:lang w:val="de-DE"/>
        </w:rPr>
        <w:t>gilt a</w:t>
      </w:r>
      <w:r w:rsidR="00DD7C1E">
        <w:rPr>
          <w:lang w:val="de-DE"/>
        </w:rPr>
        <w:t>b Januar 2022 m</w:t>
      </w:r>
      <w:r w:rsidR="007D2DD8">
        <w:rPr>
          <w:lang w:val="de-DE"/>
        </w:rPr>
        <w:t xml:space="preserve">it der </w:t>
      </w:r>
      <w:r w:rsidR="0057022C" w:rsidRPr="0057022C">
        <w:rPr>
          <w:lang w:val="de-DE"/>
        </w:rPr>
        <w:t>Öko-Verordnung</w:t>
      </w:r>
      <w:r w:rsidR="00DD7C1E">
        <w:rPr>
          <w:lang w:val="de-DE"/>
        </w:rPr>
        <w:t xml:space="preserve"> (EU) 2018/848 </w:t>
      </w:r>
      <w:r w:rsidR="007D2DD8">
        <w:rPr>
          <w:lang w:val="de-DE"/>
        </w:rPr>
        <w:t xml:space="preserve">ein </w:t>
      </w:r>
      <w:r w:rsidR="0057022C">
        <w:rPr>
          <w:lang w:val="de-DE"/>
        </w:rPr>
        <w:t>neuer Rechtsr</w:t>
      </w:r>
      <w:r w:rsidR="00DD7C1E">
        <w:rPr>
          <w:lang w:val="de-DE"/>
        </w:rPr>
        <w:t>ahmen</w:t>
      </w:r>
      <w:r w:rsidR="0057022C">
        <w:rPr>
          <w:lang w:val="de-DE"/>
        </w:rPr>
        <w:t>.</w:t>
      </w:r>
      <w:r w:rsidR="00787D71">
        <w:rPr>
          <w:lang w:val="de-DE"/>
        </w:rPr>
        <w:t xml:space="preserve"> </w:t>
      </w:r>
      <w:r>
        <w:rPr>
          <w:lang w:val="de-DE"/>
        </w:rPr>
        <w:t>D</w:t>
      </w:r>
      <w:r w:rsidR="009E1DB5">
        <w:rPr>
          <w:lang w:val="de-DE"/>
        </w:rPr>
        <w:t xml:space="preserve">rei </w:t>
      </w:r>
      <w:r w:rsidR="00FE471F">
        <w:rPr>
          <w:lang w:val="de-DE"/>
        </w:rPr>
        <w:t xml:space="preserve">neue </w:t>
      </w:r>
      <w:r w:rsidR="00C65167">
        <w:rPr>
          <w:lang w:val="de-DE"/>
        </w:rPr>
        <w:t>Leitfäden</w:t>
      </w:r>
      <w:r w:rsidR="00F02DC7">
        <w:rPr>
          <w:lang w:val="de-DE"/>
        </w:rPr>
        <w:t xml:space="preserve"> eines</w:t>
      </w:r>
      <w:r w:rsidR="00943F56">
        <w:rPr>
          <w:lang w:val="de-DE"/>
        </w:rPr>
        <w:t xml:space="preserve"> Verbundprojekt</w:t>
      </w:r>
      <w:r w:rsidR="004D5E93">
        <w:rPr>
          <w:lang w:val="de-DE"/>
        </w:rPr>
        <w:t xml:space="preserve">es von FiBL Deutschland, BLQ und </w:t>
      </w:r>
      <w:proofErr w:type="spellStart"/>
      <w:r w:rsidR="004D5E93">
        <w:rPr>
          <w:lang w:val="de-DE"/>
        </w:rPr>
        <w:t>GfRS</w:t>
      </w:r>
      <w:proofErr w:type="spellEnd"/>
      <w:r>
        <w:rPr>
          <w:lang w:val="de-DE"/>
        </w:rPr>
        <w:t xml:space="preserve"> zeigen, worauf Bio-Unternehmer*innen künftig achten müssen</w:t>
      </w:r>
      <w:r w:rsidR="004D5E93">
        <w:rPr>
          <w:lang w:val="de-DE"/>
        </w:rPr>
        <w:t>.</w:t>
      </w:r>
    </w:p>
    <w:p w14:paraId="200ED8A5" w14:textId="52398D75" w:rsidR="00143BB6" w:rsidRDefault="00E06042" w:rsidP="009C0B90">
      <w:pPr>
        <w:pStyle w:val="FiBLmmstandard"/>
        <w:rPr>
          <w:lang w:val="de-DE"/>
        </w:rPr>
      </w:pPr>
      <w:r w:rsidRPr="0006291F">
        <w:rPr>
          <w:lang w:val="de-DE"/>
        </w:rPr>
        <w:t>(Fr</w:t>
      </w:r>
      <w:r w:rsidR="0097439A" w:rsidRPr="0006291F">
        <w:rPr>
          <w:lang w:val="de-DE"/>
        </w:rPr>
        <w:t>ankfurt</w:t>
      </w:r>
      <w:r w:rsidR="0057022C" w:rsidRPr="0006291F">
        <w:rPr>
          <w:lang w:val="de-DE"/>
        </w:rPr>
        <w:t>, 30.11.2021</w:t>
      </w:r>
      <w:r w:rsidRPr="0006291F">
        <w:rPr>
          <w:lang w:val="de-DE"/>
        </w:rPr>
        <w:t>)</w:t>
      </w:r>
      <w:r w:rsidR="00143BB6" w:rsidRPr="000D5DF2">
        <w:t>.</w:t>
      </w:r>
      <w:r w:rsidR="00143BB6">
        <w:t xml:space="preserve"> </w:t>
      </w:r>
      <w:r w:rsidR="00E7215D">
        <w:t xml:space="preserve">Bio steht für gesicherte Qualität und hochwertige Produkte. </w:t>
      </w:r>
      <w:r w:rsidR="00291363">
        <w:t xml:space="preserve">In der neuen </w:t>
      </w:r>
      <w:r w:rsidR="002575CD">
        <w:t>EU-</w:t>
      </w:r>
      <w:r w:rsidR="00291363">
        <w:t>Öko-Verordnung werden die</w:t>
      </w:r>
      <w:r w:rsidR="00291363" w:rsidRPr="00291363">
        <w:t xml:space="preserve"> Vorsorgepflichten zur „Vermeidung des Vorhandenseins nicht zugelassener Erzeugnisse und Stoffe“ </w:t>
      </w:r>
      <w:r w:rsidR="00291363">
        <w:t xml:space="preserve">ab nächstem Jahr </w:t>
      </w:r>
      <w:r w:rsidR="00291363" w:rsidRPr="00291363">
        <w:t xml:space="preserve">konkretisiert. </w:t>
      </w:r>
      <w:r w:rsidR="00291363">
        <w:t>Dann</w:t>
      </w:r>
      <w:r w:rsidR="00D86587">
        <w:t xml:space="preserve"> müssen </w:t>
      </w:r>
      <w:r w:rsidR="00D86587">
        <w:rPr>
          <w:lang w:val="de-DE"/>
        </w:rPr>
        <w:t>a</w:t>
      </w:r>
      <w:r w:rsidR="009D51A5">
        <w:rPr>
          <w:lang w:val="de-DE"/>
        </w:rPr>
        <w:t xml:space="preserve">lle Bio-Unternehmer*innen ein Konzept </w:t>
      </w:r>
      <w:r w:rsidR="00D86587">
        <w:rPr>
          <w:lang w:val="de-DE"/>
        </w:rPr>
        <w:t>erstellen</w:t>
      </w:r>
      <w:r w:rsidR="009D51A5">
        <w:rPr>
          <w:lang w:val="de-DE"/>
        </w:rPr>
        <w:t xml:space="preserve">, </w:t>
      </w:r>
      <w:r w:rsidR="00D86587">
        <w:rPr>
          <w:lang w:val="de-DE"/>
        </w:rPr>
        <w:t>mit dem</w:t>
      </w:r>
      <w:r w:rsidR="009D51A5">
        <w:rPr>
          <w:lang w:val="de-DE"/>
        </w:rPr>
        <w:t xml:space="preserve"> kritische Risiken der Kontamination durch nicht zugelassene Erzeugnisse und Stoffe </w:t>
      </w:r>
      <w:r w:rsidR="004B1BED">
        <w:rPr>
          <w:lang w:val="de-DE"/>
        </w:rPr>
        <w:t>in ihre</w:t>
      </w:r>
      <w:r w:rsidR="009E2630">
        <w:rPr>
          <w:lang w:val="de-DE"/>
        </w:rPr>
        <w:t>m</w:t>
      </w:r>
      <w:r w:rsidR="004B1BED">
        <w:rPr>
          <w:lang w:val="de-DE"/>
        </w:rPr>
        <w:t xml:space="preserve"> Betrieb </w:t>
      </w:r>
      <w:r w:rsidR="009D51A5">
        <w:rPr>
          <w:lang w:val="de-DE"/>
        </w:rPr>
        <w:t>erfasst und durch Vorsorgemaßnahmen vermieden werden.</w:t>
      </w:r>
    </w:p>
    <w:p w14:paraId="7499E963" w14:textId="7E2C7644" w:rsidR="00DD7C1E" w:rsidRDefault="00EA113F" w:rsidP="00DD7C1E">
      <w:pPr>
        <w:pStyle w:val="FiBLmmstandard"/>
        <w:spacing w:after="0"/>
        <w:rPr>
          <w:lang w:val="de-DE"/>
        </w:rPr>
      </w:pPr>
      <w:r>
        <w:rPr>
          <w:lang w:val="de-DE"/>
        </w:rPr>
        <w:t xml:space="preserve">Doch </w:t>
      </w:r>
      <w:r w:rsidR="00673351">
        <w:rPr>
          <w:lang w:val="de-DE"/>
        </w:rPr>
        <w:t xml:space="preserve">um welche </w:t>
      </w:r>
      <w:r w:rsidR="00291363">
        <w:rPr>
          <w:lang w:val="de-DE"/>
        </w:rPr>
        <w:t xml:space="preserve">konkreten </w:t>
      </w:r>
      <w:r w:rsidR="00673351">
        <w:rPr>
          <w:lang w:val="de-DE"/>
        </w:rPr>
        <w:t>R</w:t>
      </w:r>
      <w:r w:rsidR="00144AD8">
        <w:rPr>
          <w:lang w:val="de-DE"/>
        </w:rPr>
        <w:t xml:space="preserve">isiken geht es? </w:t>
      </w:r>
    </w:p>
    <w:p w14:paraId="4F9B64B0" w14:textId="77777777" w:rsidR="00DD7C1E" w:rsidRDefault="00673351" w:rsidP="00DD7C1E">
      <w:pPr>
        <w:pStyle w:val="FiBLmmstandard"/>
        <w:spacing w:after="0"/>
        <w:rPr>
          <w:lang w:val="de-DE"/>
        </w:rPr>
      </w:pPr>
      <w:r>
        <w:rPr>
          <w:lang w:val="de-DE"/>
        </w:rPr>
        <w:t xml:space="preserve">Wo beginnt und endet die unternehmerische Verantwortung? </w:t>
      </w:r>
    </w:p>
    <w:p w14:paraId="1772992B" w14:textId="77777777" w:rsidR="00DD7C1E" w:rsidRDefault="00144AD8" w:rsidP="00DD7C1E">
      <w:pPr>
        <w:pStyle w:val="FiBLmmstandard"/>
        <w:spacing w:after="0"/>
        <w:rPr>
          <w:lang w:val="de-DE"/>
        </w:rPr>
      </w:pPr>
      <w:r>
        <w:rPr>
          <w:lang w:val="de-DE"/>
        </w:rPr>
        <w:t xml:space="preserve">Wie sieht ein systematisches Vorgehen zur Identifikation der kritischen Punkte aus? </w:t>
      </w:r>
      <w:r w:rsidR="00673351">
        <w:rPr>
          <w:lang w:val="de-DE"/>
        </w:rPr>
        <w:t>Was sind „verhältnismäßige und angemessene“</w:t>
      </w:r>
      <w:r w:rsidR="00EA113F">
        <w:rPr>
          <w:lang w:val="de-DE"/>
        </w:rPr>
        <w:t xml:space="preserve"> Vorsorgem</w:t>
      </w:r>
      <w:r w:rsidR="00673351">
        <w:rPr>
          <w:lang w:val="de-DE"/>
        </w:rPr>
        <w:t>aßnahmen</w:t>
      </w:r>
      <w:r w:rsidR="00FE471F">
        <w:rPr>
          <w:lang w:val="de-DE"/>
        </w:rPr>
        <w:t xml:space="preserve">? </w:t>
      </w:r>
    </w:p>
    <w:p w14:paraId="226AC94F" w14:textId="77777777" w:rsidR="00673351" w:rsidRDefault="00FE471F" w:rsidP="00DD7C1E">
      <w:pPr>
        <w:pStyle w:val="FiBLmmstandard"/>
        <w:spacing w:after="0"/>
        <w:rPr>
          <w:lang w:val="de-DE"/>
        </w:rPr>
      </w:pPr>
      <w:r>
        <w:rPr>
          <w:lang w:val="de-DE"/>
        </w:rPr>
        <w:t>W</w:t>
      </w:r>
      <w:r w:rsidR="009E1DB5">
        <w:rPr>
          <w:lang w:val="de-DE"/>
        </w:rPr>
        <w:t xml:space="preserve">ie können die Anforderungen </w:t>
      </w:r>
      <w:r>
        <w:rPr>
          <w:lang w:val="de-DE"/>
        </w:rPr>
        <w:t xml:space="preserve">im Betrieb </w:t>
      </w:r>
      <w:r w:rsidR="009E1DB5">
        <w:rPr>
          <w:lang w:val="de-DE"/>
        </w:rPr>
        <w:t>umgesetzt und</w:t>
      </w:r>
      <w:r w:rsidR="00EA113F">
        <w:rPr>
          <w:lang w:val="de-DE"/>
        </w:rPr>
        <w:t xml:space="preserve"> für die </w:t>
      </w:r>
      <w:r w:rsidR="009E1DB5">
        <w:rPr>
          <w:lang w:val="de-DE"/>
        </w:rPr>
        <w:t>Betriebskontrolle dokumentiert werden</w:t>
      </w:r>
      <w:r w:rsidR="00673351">
        <w:rPr>
          <w:lang w:val="de-DE"/>
        </w:rPr>
        <w:t xml:space="preserve">? </w:t>
      </w:r>
    </w:p>
    <w:p w14:paraId="75B9A87F" w14:textId="3B37423F" w:rsidR="009B68A8" w:rsidRDefault="004B1BED" w:rsidP="00DD7C1E">
      <w:pPr>
        <w:pStyle w:val="FiBLmmstandard"/>
        <w:spacing w:before="120"/>
        <w:rPr>
          <w:lang w:val="de-DE"/>
        </w:rPr>
      </w:pPr>
      <w:r>
        <w:rPr>
          <w:lang w:val="de-DE"/>
        </w:rPr>
        <w:t>I</w:t>
      </w:r>
      <w:r w:rsidR="009B68A8">
        <w:rPr>
          <w:lang w:val="de-DE"/>
        </w:rPr>
        <w:t>m Verbundv</w:t>
      </w:r>
      <w:r w:rsidR="003A02A6">
        <w:rPr>
          <w:lang w:val="de-DE"/>
        </w:rPr>
        <w:t>orhaben „Identifikation von kritischen Kontrollpunkten und Vorsorgemaßnahmen zur Absicherung der Öko-Integrität (</w:t>
      </w:r>
      <w:proofErr w:type="spellStart"/>
      <w:r w:rsidR="003A02A6">
        <w:rPr>
          <w:lang w:val="de-DE"/>
        </w:rPr>
        <w:t>BioKKP</w:t>
      </w:r>
      <w:proofErr w:type="spellEnd"/>
      <w:r>
        <w:rPr>
          <w:lang w:val="de-DE"/>
        </w:rPr>
        <w:t>)“ wurden diese Fragen gemeinsam</w:t>
      </w:r>
      <w:r w:rsidR="000366A4">
        <w:rPr>
          <w:lang w:val="de-DE"/>
        </w:rPr>
        <w:t xml:space="preserve"> mit Praktiker*innen aus Bio-Unternehmen, Beratung und Kontrolle</w:t>
      </w:r>
      <w:r>
        <w:rPr>
          <w:lang w:val="de-DE"/>
        </w:rPr>
        <w:t xml:space="preserve"> beantwortet.</w:t>
      </w:r>
      <w:r w:rsidR="000366A4">
        <w:rPr>
          <w:lang w:val="de-DE"/>
        </w:rPr>
        <w:t xml:space="preserve"> </w:t>
      </w:r>
      <w:r w:rsidR="00183043">
        <w:rPr>
          <w:lang w:val="de-DE"/>
        </w:rPr>
        <w:t>Eigens entwickelte</w:t>
      </w:r>
      <w:r w:rsidR="009D51A5">
        <w:rPr>
          <w:lang w:val="de-DE"/>
        </w:rPr>
        <w:t xml:space="preserve"> </w:t>
      </w:r>
      <w:r w:rsidR="003A02A6">
        <w:rPr>
          <w:lang w:val="de-DE"/>
        </w:rPr>
        <w:t>Praxisleitfäden</w:t>
      </w:r>
      <w:r w:rsidR="009B68A8">
        <w:rPr>
          <w:lang w:val="de-DE"/>
        </w:rPr>
        <w:t xml:space="preserve"> und weitere Arbeitsinstrumente </w:t>
      </w:r>
      <w:r>
        <w:rPr>
          <w:lang w:val="de-DE"/>
        </w:rPr>
        <w:t>unterstützen</w:t>
      </w:r>
      <w:r w:rsidR="003A02A6">
        <w:rPr>
          <w:lang w:val="de-DE"/>
        </w:rPr>
        <w:t xml:space="preserve"> </w:t>
      </w:r>
      <w:r w:rsidR="009B68A8">
        <w:rPr>
          <w:lang w:val="de-DE"/>
        </w:rPr>
        <w:t>B</w:t>
      </w:r>
      <w:r w:rsidR="00F17131">
        <w:rPr>
          <w:lang w:val="de-DE"/>
        </w:rPr>
        <w:t>io-U</w:t>
      </w:r>
      <w:r w:rsidR="009B68A8">
        <w:rPr>
          <w:lang w:val="de-DE"/>
        </w:rPr>
        <w:t>nternehmer*innen</w:t>
      </w:r>
      <w:r w:rsidR="00943F56">
        <w:rPr>
          <w:lang w:val="de-DE"/>
        </w:rPr>
        <w:t xml:space="preserve"> </w:t>
      </w:r>
      <w:r w:rsidR="009B68A8">
        <w:rPr>
          <w:lang w:val="de-DE"/>
        </w:rPr>
        <w:t>bei der praktischen U</w:t>
      </w:r>
      <w:r w:rsidR="005F1C4D">
        <w:rPr>
          <w:lang w:val="de-DE"/>
        </w:rPr>
        <w:t xml:space="preserve">msetzung der rechtlichen </w:t>
      </w:r>
      <w:r w:rsidR="009B68A8">
        <w:rPr>
          <w:lang w:val="de-DE"/>
        </w:rPr>
        <w:t>V</w:t>
      </w:r>
      <w:r w:rsidR="005F1C4D">
        <w:rPr>
          <w:lang w:val="de-DE"/>
        </w:rPr>
        <w:t>orgaben</w:t>
      </w:r>
      <w:r w:rsidR="009B68A8">
        <w:rPr>
          <w:lang w:val="de-DE"/>
        </w:rPr>
        <w:t>:</w:t>
      </w:r>
    </w:p>
    <w:p w14:paraId="6E82174E" w14:textId="2962DBDD" w:rsidR="009B68A8" w:rsidRPr="00943968" w:rsidRDefault="009B68A8" w:rsidP="009B68A8">
      <w:pPr>
        <w:pStyle w:val="FiBLmmaufzhlungszeichen"/>
      </w:pPr>
      <w:r>
        <w:t>Der</w:t>
      </w:r>
      <w:r w:rsidRPr="00943968">
        <w:t xml:space="preserve"> „</w:t>
      </w:r>
      <w:hyperlink r:id="rId9" w:history="1">
        <w:r w:rsidRPr="002575CD">
          <w:rPr>
            <w:rStyle w:val="Hyperlink"/>
          </w:rPr>
          <w:t>Praxisleitfaden für landwirtschaftliche Unternehmen zur Umsetzung des Artikels 28 Absatz 1 der Öko-Verordnung (EU) 2018/848</w:t>
        </w:r>
      </w:hyperlink>
      <w:r w:rsidRPr="00943968">
        <w:t xml:space="preserve">“ wurde vom FiBL Deutschland e.V. erstellt. </w:t>
      </w:r>
    </w:p>
    <w:p w14:paraId="0FC4FF41" w14:textId="510D44E8" w:rsidR="009B68A8" w:rsidRPr="00943968" w:rsidRDefault="009B68A8" w:rsidP="009B68A8">
      <w:pPr>
        <w:pStyle w:val="FiBLmmaufzhlungszeichen"/>
      </w:pPr>
      <w:r w:rsidRPr="00943968">
        <w:t>Der „</w:t>
      </w:r>
      <w:hyperlink r:id="rId10" w:history="1">
        <w:r w:rsidRPr="002575CD">
          <w:rPr>
            <w:rStyle w:val="Hyperlink"/>
          </w:rPr>
          <w:t>Praxisleitfaden für lebensmittel- und futtermittelverarbeitende Unternehmen zur Umsetzung des Artikels 28 Absatz 1 der Öko-Verordnung (EU) 2018/848</w:t>
        </w:r>
      </w:hyperlink>
      <w:r w:rsidRPr="00943968">
        <w:t>“</w:t>
      </w:r>
      <w:r w:rsidRPr="00367F33">
        <w:t xml:space="preserve"> </w:t>
      </w:r>
      <w:r w:rsidRPr="00943968">
        <w:t xml:space="preserve">wurde vom Büro Lebensmittelkunde &amp; Qualität </w:t>
      </w:r>
      <w:r w:rsidR="004D5E93">
        <w:t xml:space="preserve">(BLQ) </w:t>
      </w:r>
      <w:r w:rsidRPr="00943968">
        <w:t>erstellt.</w:t>
      </w:r>
    </w:p>
    <w:p w14:paraId="13811418" w14:textId="62AA4046" w:rsidR="009B68A8" w:rsidRDefault="009B68A8" w:rsidP="009B68A8">
      <w:pPr>
        <w:pStyle w:val="FiBLmmaufzhlungszeichen"/>
      </w:pPr>
      <w:r w:rsidRPr="00943968">
        <w:t>Der „</w:t>
      </w:r>
      <w:hyperlink r:id="rId11" w:history="1">
        <w:r w:rsidRPr="000D5DF2">
          <w:rPr>
            <w:rStyle w:val="Hyperlink"/>
          </w:rPr>
          <w:t>Praxisleitfaden für Handels- und Importunternehmen zur Umsetzung des Artikels 28 Absatz 1 der Öko-Verordnung (EU) 2018/848</w:t>
        </w:r>
      </w:hyperlink>
      <w:r w:rsidRPr="00943968">
        <w:t>“</w:t>
      </w:r>
      <w:r>
        <w:t xml:space="preserve"> wurde von der Gesellschaft für Ressourcenschutz </w:t>
      </w:r>
      <w:r w:rsidR="004D5E93">
        <w:t>(</w:t>
      </w:r>
      <w:proofErr w:type="spellStart"/>
      <w:r w:rsidR="004D5E93">
        <w:t>GfRS</w:t>
      </w:r>
      <w:proofErr w:type="spellEnd"/>
      <w:r w:rsidR="004D5E93">
        <w:t xml:space="preserve">) </w:t>
      </w:r>
      <w:r>
        <w:t>erstellt</w:t>
      </w:r>
      <w:r w:rsidR="004D5E93">
        <w:t>.</w:t>
      </w:r>
    </w:p>
    <w:p w14:paraId="59EC8807" w14:textId="035E5633" w:rsidR="005F1C4D" w:rsidRDefault="00143BB6" w:rsidP="00F02DC7">
      <w:pPr>
        <w:pStyle w:val="FiBLmmstandard"/>
      </w:pPr>
      <w:r>
        <w:t>Neben einem</w:t>
      </w:r>
      <w:r w:rsidR="00B93C18">
        <w:t xml:space="preserve"> Überb</w:t>
      </w:r>
      <w:r w:rsidR="00787D71">
        <w:t xml:space="preserve">lick über die neue </w:t>
      </w:r>
      <w:r w:rsidR="00EA113F">
        <w:t xml:space="preserve">Rechtslage </w:t>
      </w:r>
      <w:r>
        <w:t>geben die Leitfäden</w:t>
      </w:r>
      <w:r w:rsidR="00EA113F">
        <w:t xml:space="preserve"> eine praxisnahe Anleitung zur</w:t>
      </w:r>
      <w:r w:rsidR="00943F56">
        <w:t xml:space="preserve"> Umsetzung </w:t>
      </w:r>
      <w:r w:rsidR="005F1C4D">
        <w:t>eines</w:t>
      </w:r>
      <w:r w:rsidR="009D51A5">
        <w:t xml:space="preserve"> </w:t>
      </w:r>
      <w:r w:rsidR="005F1C4D">
        <w:t xml:space="preserve">betriebsindividuellen </w:t>
      </w:r>
      <w:r w:rsidR="00EA113F">
        <w:t>Vorsorgekonzeptes</w:t>
      </w:r>
      <w:r w:rsidR="00183043">
        <w:t>.</w:t>
      </w:r>
      <w:r w:rsidR="00DD7C1E">
        <w:t xml:space="preserve"> </w:t>
      </w:r>
      <w:r w:rsidR="00183043">
        <w:t>Sie</w:t>
      </w:r>
      <w:r w:rsidR="009D3AAC">
        <w:t xml:space="preserve"> sind für Praktiker*</w:t>
      </w:r>
      <w:r w:rsidR="0075651E">
        <w:t xml:space="preserve">innen, </w:t>
      </w:r>
      <w:r w:rsidR="002A36B5">
        <w:t>Beratungsorganisationen und Kontrollstellen</w:t>
      </w:r>
      <w:r w:rsidR="004C7090">
        <w:t xml:space="preserve"> </w:t>
      </w:r>
      <w:r w:rsidR="002A36B5">
        <w:t>ein nützliches Nachschlagewerk zum Umgang mit Artikel 28 (1) der EU-Öko-Verordnung.</w:t>
      </w:r>
    </w:p>
    <w:p w14:paraId="5BE9F63A" w14:textId="76848F04" w:rsidR="00F02DC7" w:rsidRDefault="002A36B5" w:rsidP="008522DD">
      <w:pPr>
        <w:pStyle w:val="FiBLmmstandard"/>
      </w:pPr>
      <w:r>
        <w:rPr>
          <w:lang w:val="de-DE"/>
        </w:rPr>
        <w:lastRenderedPageBreak/>
        <w:t xml:space="preserve">Die Leitfäden </w:t>
      </w:r>
      <w:r w:rsidR="00F17131">
        <w:rPr>
          <w:lang w:val="de-DE"/>
        </w:rPr>
        <w:t xml:space="preserve">und Arbeitshilfen </w:t>
      </w:r>
      <w:r>
        <w:rPr>
          <w:lang w:val="de-DE"/>
        </w:rPr>
        <w:t xml:space="preserve">stehen allen Interessenten auf der Webseite </w:t>
      </w:r>
      <w:hyperlink r:id="rId12" w:history="1">
        <w:r w:rsidRPr="001267DB">
          <w:rPr>
            <w:rStyle w:val="Hyperlink"/>
          </w:rPr>
          <w:t>https://orgprints.org/id/eprint/42876/</w:t>
        </w:r>
      </w:hyperlink>
      <w:r>
        <w:t xml:space="preserve"> zum kostenlosen Download zur Verfügung. </w:t>
      </w:r>
      <w:r w:rsidR="0075651E">
        <w:t xml:space="preserve"> </w:t>
      </w:r>
      <w:r w:rsidR="009D3AAC">
        <w:t xml:space="preserve">Das </w:t>
      </w:r>
      <w:hyperlink r:id="rId13" w:history="1">
        <w:r w:rsidR="009D3AAC" w:rsidRPr="007F041A">
          <w:rPr>
            <w:rStyle w:val="Hyperlink"/>
          </w:rPr>
          <w:t xml:space="preserve">Projekt </w:t>
        </w:r>
        <w:proofErr w:type="spellStart"/>
        <w:r w:rsidR="007F041A" w:rsidRPr="007F041A">
          <w:rPr>
            <w:rStyle w:val="Hyperlink"/>
          </w:rPr>
          <w:t>BioKKP</w:t>
        </w:r>
        <w:proofErr w:type="spellEnd"/>
      </w:hyperlink>
      <w:r w:rsidR="007F041A">
        <w:t xml:space="preserve"> </w:t>
      </w:r>
      <w:r w:rsidR="009D3AAC">
        <w:t xml:space="preserve">wird gefördert durch das Bundesministerium für Ernährung und Landwirtschaft aufgrund eines Beschlusses des Deutschen Bundestages im Rahmen des BÖLN (FKZ 2819OE001, 2819OE145). </w:t>
      </w:r>
      <w:r w:rsidR="00F02DC7">
        <w:t>D</w:t>
      </w:r>
      <w:r w:rsidR="008522DD">
        <w:t>as Gesamtvorhaben</w:t>
      </w:r>
      <w:r w:rsidR="00F02DC7">
        <w:t xml:space="preserve"> </w:t>
      </w:r>
      <w:r w:rsidR="008522DD">
        <w:t xml:space="preserve">wird von </w:t>
      </w:r>
      <w:r w:rsidR="00F02DC7">
        <w:t>FiBL D</w:t>
      </w:r>
      <w:r w:rsidR="008522DD">
        <w:t>eutschland koordiniert</w:t>
      </w:r>
      <w:r w:rsidR="00F02DC7">
        <w:t xml:space="preserve">. </w:t>
      </w:r>
    </w:p>
    <w:p w14:paraId="622B4DEE" w14:textId="77777777" w:rsidR="002A36B5" w:rsidRPr="00F02DC7" w:rsidRDefault="002A36B5" w:rsidP="009C0B90">
      <w:pPr>
        <w:pStyle w:val="FiBLmmstandard"/>
      </w:pPr>
    </w:p>
    <w:p w14:paraId="3259980D" w14:textId="088FA356" w:rsidR="00A561D0" w:rsidRPr="00D76B7B" w:rsidRDefault="009E2630" w:rsidP="00A561D0">
      <w:pPr>
        <w:pStyle w:val="FiBLmmstandard"/>
        <w:rPr>
          <w:lang w:val="de-DE"/>
        </w:rPr>
      </w:pPr>
      <w:r w:rsidRPr="009E2630">
        <w:rPr>
          <w:lang w:val="de-DE"/>
        </w:rPr>
        <w:t>2.815</w:t>
      </w:r>
      <w:r w:rsidR="00A561D0" w:rsidRPr="009E2630">
        <w:rPr>
          <w:lang w:val="de-DE"/>
        </w:rPr>
        <w:t xml:space="preserve"> Zeichen,</w:t>
      </w:r>
      <w:r w:rsidR="00A561D0" w:rsidRPr="00D76B7B">
        <w:rPr>
          <w:lang w:val="de-DE"/>
        </w:rPr>
        <w:t xml:space="preserve"> Abdruck honorarfrei, um ein Belegexemplar wird gebeten.</w:t>
      </w:r>
    </w:p>
    <w:p w14:paraId="322AF67A" w14:textId="77777777" w:rsidR="00CD4B01" w:rsidRPr="00D76B7B" w:rsidRDefault="00CD4B01" w:rsidP="00A561D0">
      <w:pPr>
        <w:pStyle w:val="FiBLmmzusatzinfo"/>
        <w:rPr>
          <w:lang w:val="de-DE"/>
        </w:rPr>
      </w:pPr>
      <w:r w:rsidRPr="00D76B7B">
        <w:rPr>
          <w:lang w:val="de-DE"/>
        </w:rPr>
        <w:t>FiBL-Kontakte</w:t>
      </w:r>
    </w:p>
    <w:p w14:paraId="353E724C" w14:textId="77777777" w:rsidR="003C6406" w:rsidRPr="00D76B7B" w:rsidRDefault="00B93C18" w:rsidP="00866E96">
      <w:pPr>
        <w:pStyle w:val="FiBLmmaufzhlungszeichen"/>
        <w:rPr>
          <w:lang w:val="de-DE"/>
        </w:rPr>
      </w:pPr>
      <w:r>
        <w:rPr>
          <w:lang w:val="de-DE"/>
        </w:rPr>
        <w:t>Lena Guhrke</w:t>
      </w:r>
      <w:r w:rsidR="00A561D0" w:rsidRPr="00D76B7B">
        <w:rPr>
          <w:lang w:val="de-DE"/>
        </w:rPr>
        <w:t xml:space="preserve"> </w:t>
      </w:r>
      <w:r w:rsidR="003C4537" w:rsidRPr="00D76B7B">
        <w:rPr>
          <w:lang w:val="de-DE"/>
        </w:rPr>
        <w:br/>
      </w:r>
      <w:r w:rsidR="0001151E" w:rsidRPr="00D76B7B">
        <w:rPr>
          <w:lang w:val="de-DE"/>
        </w:rPr>
        <w:t>Tel</w:t>
      </w:r>
      <w:r w:rsidR="00866E96" w:rsidRPr="00D76B7B">
        <w:rPr>
          <w:lang w:val="de-DE"/>
        </w:rPr>
        <w:t xml:space="preserve"> +4</w:t>
      </w:r>
      <w:r w:rsidR="00A561D0" w:rsidRPr="00D76B7B">
        <w:rPr>
          <w:lang w:val="de-DE"/>
        </w:rPr>
        <w:t>9</w:t>
      </w:r>
      <w:r w:rsidR="00866E96" w:rsidRPr="00D76B7B">
        <w:rPr>
          <w:lang w:val="de-DE"/>
        </w:rPr>
        <w:t xml:space="preserve"> 6</w:t>
      </w:r>
      <w:r w:rsidR="00A561D0" w:rsidRPr="00D76B7B">
        <w:rPr>
          <w:lang w:val="de-DE"/>
        </w:rPr>
        <w:t>9</w:t>
      </w:r>
      <w:r w:rsidR="00866E96" w:rsidRPr="00D76B7B">
        <w:rPr>
          <w:lang w:val="de-DE"/>
        </w:rPr>
        <w:t> </w:t>
      </w:r>
      <w:r w:rsidR="00A561D0" w:rsidRPr="00D76B7B">
        <w:rPr>
          <w:lang w:val="de-DE"/>
        </w:rPr>
        <w:t>7137699-</w:t>
      </w:r>
      <w:r>
        <w:rPr>
          <w:lang w:val="de-DE"/>
        </w:rPr>
        <w:t>845</w:t>
      </w:r>
      <w:r w:rsidR="00866E96" w:rsidRPr="00D76B7B">
        <w:rPr>
          <w:lang w:val="de-DE"/>
        </w:rPr>
        <w:t xml:space="preserve">, E-Mail </w:t>
      </w:r>
      <w:hyperlink r:id="rId14" w:history="1">
        <w:r>
          <w:rPr>
            <w:rStyle w:val="Hyperlink"/>
            <w:lang w:val="de-DE"/>
          </w:rPr>
          <w:t>lena.guhrke</w:t>
        </w:r>
        <w:r w:rsidR="00A561D0" w:rsidRPr="00D76B7B">
          <w:rPr>
            <w:rStyle w:val="Hyperlink"/>
            <w:lang w:val="de-DE"/>
          </w:rPr>
          <w:t>@fibl.org</w:t>
        </w:r>
      </w:hyperlink>
    </w:p>
    <w:p w14:paraId="37B3AE7E" w14:textId="77777777" w:rsidR="00CD4B01" w:rsidRDefault="007F041A" w:rsidP="00CD4B01">
      <w:pPr>
        <w:pStyle w:val="FiBLmmzusatzinfo"/>
        <w:rPr>
          <w:lang w:val="de-DE"/>
        </w:rPr>
      </w:pPr>
      <w:r w:rsidRPr="001267DB">
        <w:rPr>
          <w:rFonts w:ascii="Palatino Linotype" w:hAnsi="Palatino Linotype"/>
          <w:b w:val="0"/>
          <w:noProof/>
          <w:sz w:val="20"/>
          <w:szCs w:val="20"/>
          <w:lang w:val="de-DE" w:eastAsia="de-DE"/>
        </w:rPr>
        <w:drawing>
          <wp:anchor distT="0" distB="0" distL="114300" distR="114300" simplePos="0" relativeHeight="251659264" behindDoc="0" locked="0" layoutInCell="1" allowOverlap="1" wp14:anchorId="49588493" wp14:editId="63E2E067">
            <wp:simplePos x="0" y="0"/>
            <wp:positionH relativeFrom="margin">
              <wp:posOffset>2355273</wp:posOffset>
            </wp:positionH>
            <wp:positionV relativeFrom="paragraph">
              <wp:posOffset>179994</wp:posOffset>
            </wp:positionV>
            <wp:extent cx="2534920" cy="1290955"/>
            <wp:effectExtent l="0" t="0" r="0" b="4445"/>
            <wp:wrapSquare wrapText="bothSides"/>
            <wp:docPr id="2" name="Grafik 2" descr="\\skyfall\Logo\boeln\bmel_boeln_foerderzusa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fall\Logo\boeln\bmel_boeln_foerderzusatz.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4920" cy="1290955"/>
                    </a:xfrm>
                    <a:prstGeom prst="rect">
                      <a:avLst/>
                    </a:prstGeom>
                    <a:noFill/>
                    <a:ln>
                      <a:noFill/>
                    </a:ln>
                  </pic:spPr>
                </pic:pic>
              </a:graphicData>
            </a:graphic>
          </wp:anchor>
        </w:drawing>
      </w:r>
      <w:r w:rsidR="00CD4B01" w:rsidRPr="00D76B7B">
        <w:rPr>
          <w:lang w:val="de-DE"/>
        </w:rPr>
        <w:t>Partner</w:t>
      </w:r>
    </w:p>
    <w:p w14:paraId="0339EC4C" w14:textId="77777777" w:rsidR="007F041A" w:rsidRDefault="00B93C18" w:rsidP="00B93C18">
      <w:pPr>
        <w:pStyle w:val="FiBLmmzusatzinfo"/>
        <w:spacing w:before="120"/>
        <w:rPr>
          <w:rFonts w:ascii="Palatino Linotype" w:hAnsi="Palatino Linotype"/>
          <w:b w:val="0"/>
          <w:sz w:val="20"/>
          <w:szCs w:val="20"/>
          <w:lang w:val="de-DE"/>
        </w:rPr>
      </w:pPr>
      <w:r w:rsidRPr="001267DB">
        <w:rPr>
          <w:rFonts w:ascii="Palatino Linotype" w:hAnsi="Palatino Linotype"/>
          <w:b w:val="0"/>
          <w:sz w:val="20"/>
          <w:szCs w:val="20"/>
          <w:lang w:val="de-DE"/>
        </w:rPr>
        <w:t>Büro Lebensmittelkunde &amp; Q</w:t>
      </w:r>
      <w:r w:rsidR="007F041A">
        <w:rPr>
          <w:rFonts w:ascii="Palatino Linotype" w:hAnsi="Palatino Linotype"/>
          <w:b w:val="0"/>
          <w:sz w:val="20"/>
          <w:szCs w:val="20"/>
          <w:lang w:val="de-DE"/>
        </w:rPr>
        <w:t>ualität</w:t>
      </w:r>
    </w:p>
    <w:p w14:paraId="602ACEE3" w14:textId="77777777" w:rsidR="00B93C18" w:rsidRPr="001267DB" w:rsidRDefault="00B93C18" w:rsidP="00B93C18">
      <w:pPr>
        <w:pStyle w:val="FiBLmmzusatzinfo"/>
        <w:spacing w:before="120"/>
        <w:rPr>
          <w:rFonts w:ascii="Palatino Linotype" w:hAnsi="Palatino Linotype"/>
          <w:b w:val="0"/>
          <w:sz w:val="20"/>
          <w:szCs w:val="20"/>
          <w:lang w:val="de-DE"/>
        </w:rPr>
      </w:pPr>
      <w:r w:rsidRPr="001267DB">
        <w:rPr>
          <w:rFonts w:ascii="Palatino Linotype" w:hAnsi="Palatino Linotype"/>
          <w:b w:val="0"/>
          <w:sz w:val="20"/>
          <w:szCs w:val="20"/>
          <w:lang w:val="de-DE"/>
        </w:rPr>
        <w:t>Gesellschaft für Ressourcenschutz</w:t>
      </w:r>
    </w:p>
    <w:p w14:paraId="654FCBE8" w14:textId="77777777" w:rsidR="00195EC7" w:rsidRPr="00D76B7B" w:rsidRDefault="00195EC7" w:rsidP="00195EC7">
      <w:pPr>
        <w:pStyle w:val="FiBLmmzusatzinfo"/>
        <w:rPr>
          <w:lang w:val="de-DE"/>
        </w:rPr>
      </w:pPr>
      <w:r w:rsidRPr="00D76B7B">
        <w:rPr>
          <w:lang w:val="de-DE"/>
        </w:rPr>
        <w:t>Links</w:t>
      </w:r>
    </w:p>
    <w:p w14:paraId="6A816C4A" w14:textId="30F4BB79" w:rsidR="0006291F" w:rsidRDefault="000F65C6" w:rsidP="00A561D0">
      <w:pPr>
        <w:pStyle w:val="FiBLmmstandard"/>
      </w:pPr>
      <w:hyperlink r:id="rId16" w:history="1">
        <w:r w:rsidRPr="000F65C6">
          <w:rPr>
            <w:rStyle w:val="Hyperlink"/>
            <w:szCs w:val="20"/>
          </w:rPr>
          <w:t>https://www.fibl.org/de/infothek/medien</w:t>
        </w:r>
      </w:hyperlink>
    </w:p>
    <w:p w14:paraId="414E7446" w14:textId="4FF2B3CB" w:rsidR="00B93C18" w:rsidRDefault="000F65C6" w:rsidP="00A561D0">
      <w:pPr>
        <w:pStyle w:val="FiBLmmstandard"/>
      </w:pPr>
      <w:hyperlink r:id="rId17" w:history="1">
        <w:r w:rsidR="00B93C18" w:rsidRPr="000F65C6">
          <w:rPr>
            <w:rStyle w:val="Hyperlink"/>
          </w:rPr>
          <w:t>https://orgprints.org/id/eprint/42876/</w:t>
        </w:r>
      </w:hyperlink>
    </w:p>
    <w:p w14:paraId="79CF77F8" w14:textId="78145C06" w:rsidR="007F041A" w:rsidRDefault="000F65C6" w:rsidP="00A561D0">
      <w:pPr>
        <w:pStyle w:val="FiBLmmstandard"/>
        <w:rPr>
          <w:lang w:val="de-DE"/>
        </w:rPr>
      </w:pPr>
      <w:hyperlink r:id="rId18" w:history="1">
        <w:r w:rsidR="007F041A" w:rsidRPr="000F65C6">
          <w:rPr>
            <w:rStyle w:val="Hyperlink"/>
            <w:lang w:val="de-DE"/>
          </w:rPr>
          <w:t>https://www.fibl.org/de/themen/pro</w:t>
        </w:r>
        <w:r w:rsidR="007F041A" w:rsidRPr="000F65C6">
          <w:rPr>
            <w:rStyle w:val="Hyperlink"/>
            <w:lang w:val="de-DE"/>
          </w:rPr>
          <w:t>j</w:t>
        </w:r>
        <w:r w:rsidR="007F041A" w:rsidRPr="000F65C6">
          <w:rPr>
            <w:rStyle w:val="Hyperlink"/>
            <w:lang w:val="de-DE"/>
          </w:rPr>
          <w:t>ektdatenbank/projektitem/project/1823</w:t>
        </w:r>
      </w:hyperlink>
    </w:p>
    <w:p w14:paraId="051F1404" w14:textId="77777777" w:rsidR="002C0814" w:rsidRPr="00D76B7B" w:rsidRDefault="002C0814" w:rsidP="00940431">
      <w:pPr>
        <w:pStyle w:val="FiBLmmerluterungtitel"/>
        <w:ind w:right="140"/>
        <w:rPr>
          <w:lang w:val="de-DE"/>
        </w:rPr>
      </w:pPr>
      <w:r w:rsidRPr="00D76B7B">
        <w:rPr>
          <w:lang w:val="de-DE"/>
        </w:rPr>
        <w:t>Über das FiBL</w:t>
      </w:r>
    </w:p>
    <w:p w14:paraId="144F82C5" w14:textId="77777777" w:rsidR="002D757B" w:rsidRPr="00D76B7B" w:rsidRDefault="00F3478B" w:rsidP="00F3478B">
      <w:pPr>
        <w:pStyle w:val="FiBLmmerluterung"/>
        <w:ind w:right="140"/>
      </w:pPr>
      <w:r>
        <w:t>Das Forschungsinstitut für biologischen Landbau (FiBL) ist eine der weltweit führenden Forschungseinrichtungen im Bereich der ökologischen Landwirtschaft. Die Stärken des FiBL sind interdisziplinäre Forschung, gemeinsame Innovationen mit Landwirt*innen und der Lebensmittelbranche sowie ein rascher Wissenstransfer. Der FiBL Gruppe gehören derzeit FIBL Schweiz (gegründet 1973), FiBL Deutschland (2001), FiBL Österreich (2004), OEMKI (ungarisches Forschungsinstitut für biologischen Landbau, 2011), FiBL Frankreich (2017) und das gemeinsam von den fünf nationalen Instituten getragene FiBL Europe (2017) an. An den verschiedenen Standorten sind rund 300 Mitarbeitende tätig. www.fibl.org</w:t>
      </w:r>
    </w:p>
    <w:sectPr w:rsidR="002D757B" w:rsidRPr="00D76B7B" w:rsidSect="00EF52FE">
      <w:footerReference w:type="default" r:id="rId19"/>
      <w:type w:val="continuous"/>
      <w:pgSz w:w="11906" w:h="16838"/>
      <w:pgMar w:top="2268"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2E883" w14:textId="77777777" w:rsidR="00683BE8" w:rsidRDefault="00683BE8" w:rsidP="00F53AA9">
      <w:pPr>
        <w:spacing w:after="0" w:line="240" w:lineRule="auto"/>
      </w:pPr>
      <w:r>
        <w:separator/>
      </w:r>
    </w:p>
  </w:endnote>
  <w:endnote w:type="continuationSeparator" w:id="0">
    <w:p w14:paraId="4B47384A" w14:textId="77777777" w:rsidR="00683BE8" w:rsidRDefault="00683BE8"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altName w:val="Palatino"/>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2" w:type="dxa"/>
      <w:tblInd w:w="-426" w:type="dxa"/>
      <w:tblCellMar>
        <w:left w:w="0" w:type="dxa"/>
        <w:right w:w="0" w:type="dxa"/>
      </w:tblCellMar>
      <w:tblLook w:val="04A0" w:firstRow="1" w:lastRow="0" w:firstColumn="1" w:lastColumn="0" w:noHBand="0" w:noVBand="1"/>
    </w:tblPr>
    <w:tblGrid>
      <w:gridCol w:w="9362"/>
    </w:tblGrid>
    <w:tr w:rsidR="00EF52FE" w:rsidRPr="00EB7712" w14:paraId="097FB28B" w14:textId="77777777" w:rsidTr="00C21DCD">
      <w:trPr>
        <w:trHeight w:val="20"/>
      </w:trPr>
      <w:tc>
        <w:tcPr>
          <w:tcW w:w="9362" w:type="dxa"/>
          <w:shd w:val="clear" w:color="auto" w:fill="auto"/>
        </w:tcPr>
        <w:p w14:paraId="5CFDD5AC" w14:textId="77777777" w:rsidR="00EF52FE" w:rsidRDefault="00EF52FE" w:rsidP="00EF52FE">
          <w:pPr>
            <w:pStyle w:val="FiBLmmfusszeile"/>
          </w:pPr>
          <w:r>
            <w:t>Forschungsinstitut für biologischen Landbau (FiBL) | Postfach 90 01 63 | 60441 Frankfurt am Main</w:t>
          </w:r>
        </w:p>
        <w:p w14:paraId="10FB0872" w14:textId="77777777" w:rsidR="00EF52FE" w:rsidRPr="008A6B50" w:rsidRDefault="00EF52FE" w:rsidP="00EF52FE">
          <w:pPr>
            <w:pStyle w:val="FiBLmmfusszeile"/>
          </w:pPr>
          <w:r>
            <w:t>Tel. +49 69 7137699-0 | Fax +49 69 7137699-9 | info.deutschland@fibl.org | www.fibl.org</w:t>
          </w:r>
        </w:p>
      </w:tc>
    </w:tr>
  </w:tbl>
  <w:p w14:paraId="02F129A9" w14:textId="77777777" w:rsidR="00D142E7" w:rsidRPr="00F73377" w:rsidRDefault="00D142E7" w:rsidP="00F733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69" w:type="dxa"/>
      <w:tblInd w:w="-431" w:type="dxa"/>
      <w:tblCellMar>
        <w:left w:w="0" w:type="dxa"/>
        <w:right w:w="0" w:type="dxa"/>
      </w:tblCellMar>
      <w:tblLook w:val="04A0" w:firstRow="1" w:lastRow="0" w:firstColumn="1" w:lastColumn="0" w:noHBand="0" w:noVBand="1"/>
    </w:tblPr>
    <w:tblGrid>
      <w:gridCol w:w="7939"/>
      <w:gridCol w:w="430"/>
    </w:tblGrid>
    <w:tr w:rsidR="00DA14CE" w:rsidRPr="00EB7712" w14:paraId="49B14031" w14:textId="77777777" w:rsidTr="00C21DCD">
      <w:trPr>
        <w:trHeight w:val="20"/>
      </w:trPr>
      <w:tc>
        <w:tcPr>
          <w:tcW w:w="7939" w:type="dxa"/>
          <w:shd w:val="clear" w:color="auto" w:fill="auto"/>
        </w:tcPr>
        <w:p w14:paraId="0C58B485" w14:textId="77777777" w:rsidR="00DA14CE" w:rsidRPr="001926E1" w:rsidRDefault="00DA14CE" w:rsidP="00C21DCD">
          <w:pPr>
            <w:pStyle w:val="FiBLmmfusszeile"/>
            <w:spacing w:line="240" w:lineRule="auto"/>
            <w:ind w:right="0"/>
          </w:pPr>
          <w:r>
            <w:t xml:space="preserve">Medienmitteilung vom </w:t>
          </w:r>
          <w:r w:rsidR="007F041A" w:rsidRPr="009E2630">
            <w:t>30.11.2021</w:t>
          </w:r>
        </w:p>
      </w:tc>
      <w:tc>
        <w:tcPr>
          <w:tcW w:w="430" w:type="dxa"/>
          <w:shd w:val="clear" w:color="auto" w:fill="auto"/>
        </w:tcPr>
        <w:p w14:paraId="42120E09" w14:textId="49682346" w:rsidR="00DA14CE" w:rsidRPr="00DA14CE" w:rsidRDefault="00E87221" w:rsidP="00C21DCD">
          <w:pPr>
            <w:pStyle w:val="FiBLmmseitennummer"/>
            <w:spacing w:line="240" w:lineRule="auto"/>
            <w:ind w:right="0"/>
          </w:pPr>
          <w:r w:rsidRPr="00DA14CE">
            <w:fldChar w:fldCharType="begin"/>
          </w:r>
          <w:r w:rsidR="00DA14CE" w:rsidRPr="00DA14CE">
            <w:instrText xml:space="preserve"> PAGE   \* MERGEFORMAT </w:instrText>
          </w:r>
          <w:r w:rsidRPr="00DA14CE">
            <w:fldChar w:fldCharType="separate"/>
          </w:r>
          <w:r w:rsidR="000F65C6">
            <w:rPr>
              <w:noProof/>
            </w:rPr>
            <w:t>2</w:t>
          </w:r>
          <w:r w:rsidRPr="00DA14CE">
            <w:fldChar w:fldCharType="end"/>
          </w:r>
        </w:p>
      </w:tc>
    </w:tr>
  </w:tbl>
  <w:p w14:paraId="2FF8783C" w14:textId="77777777" w:rsidR="00DA14CE" w:rsidRPr="00F73377" w:rsidRDefault="00DA14CE" w:rsidP="00C21DC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5F43A" w14:textId="77777777" w:rsidR="00683BE8" w:rsidRDefault="00683BE8" w:rsidP="00F53AA9">
      <w:pPr>
        <w:spacing w:after="0" w:line="240" w:lineRule="auto"/>
      </w:pPr>
      <w:r>
        <w:separator/>
      </w:r>
    </w:p>
  </w:footnote>
  <w:footnote w:type="continuationSeparator" w:id="0">
    <w:p w14:paraId="49952181" w14:textId="77777777" w:rsidR="00683BE8" w:rsidRDefault="00683BE8"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340" w:type="dxa"/>
      <w:tblCellMar>
        <w:left w:w="0" w:type="dxa"/>
        <w:right w:w="0" w:type="dxa"/>
      </w:tblCellMar>
      <w:tblLook w:val="04A0" w:firstRow="1" w:lastRow="0" w:firstColumn="1" w:lastColumn="0" w:noHBand="0" w:noVBand="1"/>
    </w:tblPr>
    <w:tblGrid>
      <w:gridCol w:w="1616"/>
      <w:gridCol w:w="4111"/>
      <w:gridCol w:w="2268"/>
    </w:tblGrid>
    <w:tr w:rsidR="007666E3" w:rsidRPr="00EB7712" w14:paraId="35756F4D" w14:textId="77777777" w:rsidTr="00EB7712">
      <w:trPr>
        <w:trHeight w:val="599"/>
      </w:trPr>
      <w:tc>
        <w:tcPr>
          <w:tcW w:w="1616" w:type="dxa"/>
          <w:shd w:val="clear" w:color="auto" w:fill="auto"/>
        </w:tcPr>
        <w:p w14:paraId="3196CE51" w14:textId="77777777" w:rsidR="007666E3" w:rsidRPr="00EB7712" w:rsidRDefault="0097439A" w:rsidP="007666E3">
          <w:pPr>
            <w:pStyle w:val="FiBLmmheader"/>
          </w:pPr>
          <w:r w:rsidRPr="004E4EE4">
            <w:rPr>
              <w:noProof/>
              <w:lang w:val="de-DE" w:eastAsia="de-DE"/>
            </w:rPr>
            <w:drawing>
              <wp:inline distT="0" distB="0" distL="0" distR="0" wp14:anchorId="5B3725A5" wp14:editId="6DAC1A0F">
                <wp:extent cx="857250" cy="3619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r w:rsidR="007666E3" w:rsidRPr="00EB7712">
            <w:t xml:space="preserve"> </w:t>
          </w:r>
        </w:p>
      </w:tc>
      <w:tc>
        <w:tcPr>
          <w:tcW w:w="4111" w:type="dxa"/>
          <w:shd w:val="clear" w:color="auto" w:fill="auto"/>
        </w:tcPr>
        <w:p w14:paraId="0175BD51" w14:textId="77777777" w:rsidR="007666E3" w:rsidRPr="00EB7712" w:rsidRDefault="007666E3" w:rsidP="00EB7712">
          <w:pPr>
            <w:tabs>
              <w:tab w:val="right" w:pos="7653"/>
            </w:tabs>
            <w:spacing w:after="0" w:line="240" w:lineRule="auto"/>
          </w:pPr>
        </w:p>
      </w:tc>
      <w:tc>
        <w:tcPr>
          <w:tcW w:w="2268" w:type="dxa"/>
          <w:shd w:val="clear" w:color="auto" w:fill="auto"/>
        </w:tcPr>
        <w:p w14:paraId="1CEC6F45" w14:textId="77777777" w:rsidR="007666E3" w:rsidRPr="00EB7712" w:rsidRDefault="007666E3" w:rsidP="00EB7712">
          <w:pPr>
            <w:tabs>
              <w:tab w:val="right" w:pos="7653"/>
            </w:tabs>
            <w:spacing w:after="0" w:line="240" w:lineRule="auto"/>
            <w:jc w:val="right"/>
          </w:pPr>
        </w:p>
      </w:tc>
    </w:tr>
  </w:tbl>
  <w:p w14:paraId="753BBC04"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A6F88"/>
    <w:multiLevelType w:val="hybridMultilevel"/>
    <w:tmpl w:val="F0C2CB94"/>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3"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3524358"/>
    <w:multiLevelType w:val="hybridMultilevel"/>
    <w:tmpl w:val="27044996"/>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2C"/>
    <w:rsid w:val="0001151E"/>
    <w:rsid w:val="000366A4"/>
    <w:rsid w:val="00043638"/>
    <w:rsid w:val="0006291F"/>
    <w:rsid w:val="00075B35"/>
    <w:rsid w:val="0008157D"/>
    <w:rsid w:val="00086BD2"/>
    <w:rsid w:val="00097E74"/>
    <w:rsid w:val="000A0CF7"/>
    <w:rsid w:val="000A3B13"/>
    <w:rsid w:val="000B5156"/>
    <w:rsid w:val="000C75D0"/>
    <w:rsid w:val="000D5714"/>
    <w:rsid w:val="000D5DF2"/>
    <w:rsid w:val="000D7A27"/>
    <w:rsid w:val="000F2BE9"/>
    <w:rsid w:val="000F65C6"/>
    <w:rsid w:val="001050BE"/>
    <w:rsid w:val="00107221"/>
    <w:rsid w:val="001267DB"/>
    <w:rsid w:val="001354F8"/>
    <w:rsid w:val="001366DE"/>
    <w:rsid w:val="00143BB6"/>
    <w:rsid w:val="00144AD8"/>
    <w:rsid w:val="00146772"/>
    <w:rsid w:val="0017068A"/>
    <w:rsid w:val="00183043"/>
    <w:rsid w:val="0018434A"/>
    <w:rsid w:val="001926E1"/>
    <w:rsid w:val="00195EC7"/>
    <w:rsid w:val="001B2B79"/>
    <w:rsid w:val="001B3DB5"/>
    <w:rsid w:val="001E1C11"/>
    <w:rsid w:val="001F27C8"/>
    <w:rsid w:val="001F529F"/>
    <w:rsid w:val="00211862"/>
    <w:rsid w:val="002203DD"/>
    <w:rsid w:val="0022639B"/>
    <w:rsid w:val="00230924"/>
    <w:rsid w:val="00237F78"/>
    <w:rsid w:val="002575CD"/>
    <w:rsid w:val="00280674"/>
    <w:rsid w:val="00291363"/>
    <w:rsid w:val="002925F1"/>
    <w:rsid w:val="002A36B5"/>
    <w:rsid w:val="002B1D53"/>
    <w:rsid w:val="002C0814"/>
    <w:rsid w:val="002C3506"/>
    <w:rsid w:val="002D757B"/>
    <w:rsid w:val="002D7D78"/>
    <w:rsid w:val="002E414D"/>
    <w:rsid w:val="002F586A"/>
    <w:rsid w:val="003150C5"/>
    <w:rsid w:val="003847CC"/>
    <w:rsid w:val="003A02A6"/>
    <w:rsid w:val="003A4191"/>
    <w:rsid w:val="003C3779"/>
    <w:rsid w:val="003C4537"/>
    <w:rsid w:val="003C6406"/>
    <w:rsid w:val="003D1138"/>
    <w:rsid w:val="003E5C36"/>
    <w:rsid w:val="0041671F"/>
    <w:rsid w:val="00423C89"/>
    <w:rsid w:val="0044286A"/>
    <w:rsid w:val="00446B90"/>
    <w:rsid w:val="00450F2F"/>
    <w:rsid w:val="00453BD9"/>
    <w:rsid w:val="004570C7"/>
    <w:rsid w:val="00465871"/>
    <w:rsid w:val="0046602F"/>
    <w:rsid w:val="00473483"/>
    <w:rsid w:val="004762FE"/>
    <w:rsid w:val="004807B1"/>
    <w:rsid w:val="004B1BED"/>
    <w:rsid w:val="004C4067"/>
    <w:rsid w:val="004C7090"/>
    <w:rsid w:val="004D0109"/>
    <w:rsid w:val="004D5E93"/>
    <w:rsid w:val="004D6428"/>
    <w:rsid w:val="004E4EE4"/>
    <w:rsid w:val="004F613F"/>
    <w:rsid w:val="00540B0E"/>
    <w:rsid w:val="00540DAE"/>
    <w:rsid w:val="00555C7D"/>
    <w:rsid w:val="0057022C"/>
    <w:rsid w:val="00571E3B"/>
    <w:rsid w:val="00580C94"/>
    <w:rsid w:val="005867AD"/>
    <w:rsid w:val="005938C8"/>
    <w:rsid w:val="0059401F"/>
    <w:rsid w:val="005D0989"/>
    <w:rsid w:val="005F1359"/>
    <w:rsid w:val="005F1C4D"/>
    <w:rsid w:val="005F5A7E"/>
    <w:rsid w:val="006410F4"/>
    <w:rsid w:val="00661678"/>
    <w:rsid w:val="0066529D"/>
    <w:rsid w:val="00673351"/>
    <w:rsid w:val="00681E9E"/>
    <w:rsid w:val="00683BE8"/>
    <w:rsid w:val="006D0FF6"/>
    <w:rsid w:val="006D4D11"/>
    <w:rsid w:val="006E612A"/>
    <w:rsid w:val="006F35A8"/>
    <w:rsid w:val="00712776"/>
    <w:rsid w:val="00727486"/>
    <w:rsid w:val="00736F11"/>
    <w:rsid w:val="00754508"/>
    <w:rsid w:val="0075651E"/>
    <w:rsid w:val="00764E69"/>
    <w:rsid w:val="007666E3"/>
    <w:rsid w:val="00783BE6"/>
    <w:rsid w:val="0078787E"/>
    <w:rsid w:val="00787D71"/>
    <w:rsid w:val="00793238"/>
    <w:rsid w:val="007A051D"/>
    <w:rsid w:val="007A0D20"/>
    <w:rsid w:val="007C6110"/>
    <w:rsid w:val="007C7E19"/>
    <w:rsid w:val="007D2DD8"/>
    <w:rsid w:val="007F041A"/>
    <w:rsid w:val="007F29CE"/>
    <w:rsid w:val="00817B94"/>
    <w:rsid w:val="00823157"/>
    <w:rsid w:val="008417D3"/>
    <w:rsid w:val="008522DD"/>
    <w:rsid w:val="00861053"/>
    <w:rsid w:val="00866E96"/>
    <w:rsid w:val="00872371"/>
    <w:rsid w:val="008A5E8C"/>
    <w:rsid w:val="008A6B50"/>
    <w:rsid w:val="008D48AD"/>
    <w:rsid w:val="009109C1"/>
    <w:rsid w:val="00912F05"/>
    <w:rsid w:val="00940431"/>
    <w:rsid w:val="00943F56"/>
    <w:rsid w:val="0096683A"/>
    <w:rsid w:val="009669B5"/>
    <w:rsid w:val="0097439A"/>
    <w:rsid w:val="00981742"/>
    <w:rsid w:val="00982A03"/>
    <w:rsid w:val="00986F71"/>
    <w:rsid w:val="009B68A8"/>
    <w:rsid w:val="009C0165"/>
    <w:rsid w:val="009C0B90"/>
    <w:rsid w:val="009C0F61"/>
    <w:rsid w:val="009C7E54"/>
    <w:rsid w:val="009D3AAC"/>
    <w:rsid w:val="009D51A5"/>
    <w:rsid w:val="009E1DB5"/>
    <w:rsid w:val="009E2630"/>
    <w:rsid w:val="00A033E7"/>
    <w:rsid w:val="00A04F66"/>
    <w:rsid w:val="00A135C6"/>
    <w:rsid w:val="00A17E51"/>
    <w:rsid w:val="00A27464"/>
    <w:rsid w:val="00A365ED"/>
    <w:rsid w:val="00A561D0"/>
    <w:rsid w:val="00A57050"/>
    <w:rsid w:val="00A624F0"/>
    <w:rsid w:val="00A83320"/>
    <w:rsid w:val="00AA295A"/>
    <w:rsid w:val="00AC6487"/>
    <w:rsid w:val="00B116CC"/>
    <w:rsid w:val="00B11B61"/>
    <w:rsid w:val="00B169A5"/>
    <w:rsid w:val="00B25F0B"/>
    <w:rsid w:val="00B273DE"/>
    <w:rsid w:val="00B44024"/>
    <w:rsid w:val="00B92247"/>
    <w:rsid w:val="00B93C18"/>
    <w:rsid w:val="00BB6309"/>
    <w:rsid w:val="00BB7AF8"/>
    <w:rsid w:val="00BC05AC"/>
    <w:rsid w:val="00C10742"/>
    <w:rsid w:val="00C14AA4"/>
    <w:rsid w:val="00C21DCD"/>
    <w:rsid w:val="00C50896"/>
    <w:rsid w:val="00C54E7B"/>
    <w:rsid w:val="00C65167"/>
    <w:rsid w:val="00C725B7"/>
    <w:rsid w:val="00C73E52"/>
    <w:rsid w:val="00C8256D"/>
    <w:rsid w:val="00C93A6C"/>
    <w:rsid w:val="00CC3D03"/>
    <w:rsid w:val="00CD4B01"/>
    <w:rsid w:val="00CE0106"/>
    <w:rsid w:val="00CE1A38"/>
    <w:rsid w:val="00CF4AFF"/>
    <w:rsid w:val="00CF4CEC"/>
    <w:rsid w:val="00D142E7"/>
    <w:rsid w:val="00D20589"/>
    <w:rsid w:val="00D25E6E"/>
    <w:rsid w:val="00D60532"/>
    <w:rsid w:val="00D76B7B"/>
    <w:rsid w:val="00D7727C"/>
    <w:rsid w:val="00D82FEC"/>
    <w:rsid w:val="00D86587"/>
    <w:rsid w:val="00DA14CE"/>
    <w:rsid w:val="00DA5D86"/>
    <w:rsid w:val="00DC15AC"/>
    <w:rsid w:val="00DD0000"/>
    <w:rsid w:val="00DD7C1E"/>
    <w:rsid w:val="00DE44EA"/>
    <w:rsid w:val="00E06042"/>
    <w:rsid w:val="00E14D16"/>
    <w:rsid w:val="00E26382"/>
    <w:rsid w:val="00E32B51"/>
    <w:rsid w:val="00E433A3"/>
    <w:rsid w:val="00E564CA"/>
    <w:rsid w:val="00E64975"/>
    <w:rsid w:val="00E71FBF"/>
    <w:rsid w:val="00E7215D"/>
    <w:rsid w:val="00E87221"/>
    <w:rsid w:val="00EA113F"/>
    <w:rsid w:val="00EB7712"/>
    <w:rsid w:val="00ED0946"/>
    <w:rsid w:val="00EE2D4C"/>
    <w:rsid w:val="00EF52FE"/>
    <w:rsid w:val="00EF726D"/>
    <w:rsid w:val="00F02DC7"/>
    <w:rsid w:val="00F07B60"/>
    <w:rsid w:val="00F17131"/>
    <w:rsid w:val="00F21C5E"/>
    <w:rsid w:val="00F3478B"/>
    <w:rsid w:val="00F463DB"/>
    <w:rsid w:val="00F53AA9"/>
    <w:rsid w:val="00F564D4"/>
    <w:rsid w:val="00F6745D"/>
    <w:rsid w:val="00F73377"/>
    <w:rsid w:val="00FA3B53"/>
    <w:rsid w:val="00FA707D"/>
    <w:rsid w:val="00FC7C7B"/>
    <w:rsid w:val="00FE471F"/>
    <w:rsid w:val="00FF4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D2A96"/>
  <w15:docId w15:val="{784E0CD9-7307-4F04-A1F8-B425A1F4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CF4AFF"/>
    <w:pPr>
      <w:spacing w:after="160" w:line="259"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semiHidden/>
    <w:rsid w:val="00CF4AFF"/>
    <w:rPr>
      <w:color w:val="2E74B5" w:themeColor="accent1" w:themeShade="BF"/>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link w:val="Kopfzeile"/>
    <w:uiPriority w:val="99"/>
    <w:semiHidden/>
    <w:rsid w:val="00940431"/>
    <w:rPr>
      <w:sz w:val="22"/>
      <w:szCs w:val="22"/>
      <w:lang w:val="de-CH" w:eastAsia="zh-CN"/>
    </w:rPr>
  </w:style>
  <w:style w:type="paragraph" w:customStyle="1" w:styleId="FiBLerluterung">
    <w:name w:val="FiBL_erläuterung"/>
    <w:basedOn w:val="Standard"/>
    <w:qFormat/>
    <w:rsid w:val="009B68A8"/>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eastAsiaTheme="minorEastAsia" w:hAnsi="Gill Sans MT" w:cstheme="minorBidi"/>
      <w:sz w:val="20"/>
      <w:lang w:val="de-CH"/>
    </w:rPr>
  </w:style>
  <w:style w:type="character" w:styleId="Kommentarzeichen">
    <w:name w:val="annotation reference"/>
    <w:basedOn w:val="Absatz-Standardschriftart"/>
    <w:uiPriority w:val="99"/>
    <w:semiHidden/>
    <w:rsid w:val="009B68A8"/>
    <w:rPr>
      <w:sz w:val="16"/>
      <w:szCs w:val="16"/>
    </w:rPr>
  </w:style>
  <w:style w:type="paragraph" w:styleId="Kommentartext">
    <w:name w:val="annotation text"/>
    <w:basedOn w:val="Standard"/>
    <w:link w:val="KommentartextZchn"/>
    <w:uiPriority w:val="99"/>
    <w:semiHidden/>
    <w:rsid w:val="009B68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68A8"/>
    <w:rPr>
      <w:lang w:eastAsia="zh-CN"/>
    </w:rPr>
  </w:style>
  <w:style w:type="paragraph" w:styleId="Kommentarthema">
    <w:name w:val="annotation subject"/>
    <w:basedOn w:val="Kommentartext"/>
    <w:next w:val="Kommentartext"/>
    <w:link w:val="KommentarthemaZchn"/>
    <w:uiPriority w:val="99"/>
    <w:semiHidden/>
    <w:rsid w:val="009B68A8"/>
    <w:rPr>
      <w:b/>
      <w:bCs/>
    </w:rPr>
  </w:style>
  <w:style w:type="character" w:customStyle="1" w:styleId="KommentarthemaZchn">
    <w:name w:val="Kommentarthema Zchn"/>
    <w:basedOn w:val="KommentartextZchn"/>
    <w:link w:val="Kommentarthema"/>
    <w:uiPriority w:val="99"/>
    <w:semiHidden/>
    <w:rsid w:val="009B68A8"/>
    <w:rPr>
      <w:b/>
      <w:bCs/>
      <w:lang w:eastAsia="zh-CN"/>
    </w:rPr>
  </w:style>
  <w:style w:type="character" w:styleId="BesuchterHyperlink">
    <w:name w:val="FollowedHyperlink"/>
    <w:basedOn w:val="Absatz-Standardschriftart"/>
    <w:uiPriority w:val="99"/>
    <w:semiHidden/>
    <w:unhideWhenUsed/>
    <w:rsid w:val="00CE0106"/>
    <w:rPr>
      <w:color w:val="2E74B5" w:themeColor="accent1" w:themeShade="B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ibl.org/de/themen/projektdatenbank/projektitem/project/1823" TargetMode="External"/><Relationship Id="rId18" Type="http://schemas.openxmlformats.org/officeDocument/2006/relationships/hyperlink" Target="https://www.fibl.org/de/themen/projektdatenbank/projektitem/project/182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orgprints.org/id/eprint/42876/" TargetMode="External"/><Relationship Id="rId17" Type="http://schemas.openxmlformats.org/officeDocument/2006/relationships/hyperlink" Target="https://orgprints.org/id/eprint/42876/" TargetMode="External"/><Relationship Id="rId2" Type="http://schemas.openxmlformats.org/officeDocument/2006/relationships/styles" Target="styles.xml"/><Relationship Id="rId16" Type="http://schemas.openxmlformats.org/officeDocument/2006/relationships/hyperlink" Target="https://www.fibl.org/de/infothek/medi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gprints.org/id/eprint/42876/9/FiBL_BioKKP_Leitfaden_Handel_Import_2021.pdf"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orgprints.org/id/eprint/42876/8/BLQ_BioKKP_Leitfaden_Verarbeitung_2021.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gprints.org/id/eprint/42876/7/FiBL_BioKKP_Leitfaden_Landwirtschaft_2021.pdf" TargetMode="External"/><Relationship Id="rId14" Type="http://schemas.openxmlformats.org/officeDocument/2006/relationships/hyperlink" Target="mailto:x.y@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a.Guhrke\Documents\BioKKP_Medienmitteilung\FiBL_eV_Vorlage_Medienmitteilung_v15_2103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FiBL_eV_Vorlage_Medienmitteilung_v15_210319.dotx</Template>
  <TotalTime>0</TotalTime>
  <Pages>2</Pages>
  <Words>631</Words>
  <Characters>3982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4604</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neuen Praxisleitfäden Kontaminationen vermeiden - Pressemitteilung</dc:title>
  <dc:subject/>
  <dc:creator>FiBl Deutschland e.V.</dc:creator>
  <cp:keywords/>
  <cp:lastModifiedBy>Snigula Jasmin</cp:lastModifiedBy>
  <cp:revision>4</cp:revision>
  <cp:lastPrinted>2017-07-05T15:05:00Z</cp:lastPrinted>
  <dcterms:created xsi:type="dcterms:W3CDTF">2021-11-30T09:05:00Z</dcterms:created>
  <dcterms:modified xsi:type="dcterms:W3CDTF">2021-11-30T10:05:00Z</dcterms:modified>
</cp:coreProperties>
</file>