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40CE8" w14:textId="79FE6A7A" w:rsidR="004762FE" w:rsidRPr="00F77045" w:rsidRDefault="00F77045" w:rsidP="003E5C36">
      <w:pPr>
        <w:pStyle w:val="FiBLmmzwischentitel"/>
        <w:rPr>
          <w:sz w:val="24"/>
          <w:szCs w:val="24"/>
        </w:rPr>
        <w:sectPr w:rsidR="004762FE" w:rsidRPr="00F77045"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F77045">
        <w:rPr>
          <w:sz w:val="24"/>
          <w:szCs w:val="24"/>
        </w:rPr>
        <w:t>Presse</w:t>
      </w:r>
      <w:r w:rsidR="004762FE" w:rsidRPr="00F77045">
        <w:rPr>
          <w:sz w:val="24"/>
          <w:szCs w:val="24"/>
        </w:rPr>
        <w:t>mitteilung</w:t>
      </w:r>
      <w:r w:rsidRPr="00F77045">
        <w:rPr>
          <w:sz w:val="24"/>
          <w:szCs w:val="24"/>
        </w:rPr>
        <w:t>, 17.12.2020</w:t>
      </w:r>
    </w:p>
    <w:p w14:paraId="45B00CC7" w14:textId="1BF87E94" w:rsidR="00DE44EA" w:rsidRPr="00D43FD6" w:rsidRDefault="00F77045" w:rsidP="00D43FD6">
      <w:pPr>
        <w:pStyle w:val="FiBLmmtitel"/>
        <w:rPr>
          <w:lang w:val="de-DE"/>
        </w:rPr>
      </w:pPr>
      <w:r>
        <w:rPr>
          <w:bCs/>
          <w:lang w:val="de-DE"/>
        </w:rPr>
        <w:t xml:space="preserve">Neue </w:t>
      </w:r>
      <w:proofErr w:type="spellStart"/>
      <w:r>
        <w:rPr>
          <w:bCs/>
          <w:lang w:val="de-DE"/>
        </w:rPr>
        <w:t>FiBL</w:t>
      </w:r>
      <w:proofErr w:type="spellEnd"/>
      <w:r>
        <w:rPr>
          <w:bCs/>
          <w:lang w:val="de-DE"/>
        </w:rPr>
        <w:t xml:space="preserve"> Studie zu </w:t>
      </w:r>
      <w:r w:rsidR="00D43FD6" w:rsidRPr="00D43FD6">
        <w:rPr>
          <w:bCs/>
          <w:lang w:val="de-DE"/>
        </w:rPr>
        <w:t xml:space="preserve">Einfluss </w:t>
      </w:r>
      <w:r>
        <w:rPr>
          <w:bCs/>
          <w:lang w:val="de-DE"/>
        </w:rPr>
        <w:t>unterschiedlicher</w:t>
      </w:r>
      <w:r w:rsidR="00D43FD6" w:rsidRPr="00D43FD6">
        <w:rPr>
          <w:bCs/>
          <w:lang w:val="de-DE"/>
        </w:rPr>
        <w:t xml:space="preserve"> Ernährungswei</w:t>
      </w:r>
      <w:r w:rsidR="005F17EE">
        <w:rPr>
          <w:bCs/>
          <w:lang w:val="de-DE"/>
        </w:rPr>
        <w:t>sen auf Klimawandel und Flächen</w:t>
      </w:r>
      <w:r w:rsidR="00985973">
        <w:rPr>
          <w:bCs/>
          <w:lang w:val="de-DE"/>
        </w:rPr>
        <w:t>verbrauch</w:t>
      </w:r>
      <w:r w:rsidR="00D43FD6" w:rsidRPr="00D43FD6">
        <w:rPr>
          <w:bCs/>
          <w:lang w:val="de-DE"/>
        </w:rPr>
        <w:t xml:space="preserve"> </w:t>
      </w:r>
      <w:r w:rsidR="00DA287C">
        <w:rPr>
          <w:bCs/>
          <w:lang w:val="de-DE"/>
        </w:rPr>
        <w:t xml:space="preserve">erschienen </w:t>
      </w:r>
    </w:p>
    <w:p w14:paraId="144B248A" w14:textId="77777777" w:rsidR="005F17EE" w:rsidRDefault="00985973" w:rsidP="00985973">
      <w:pPr>
        <w:pStyle w:val="FiBLmmstandard"/>
        <w:rPr>
          <w:rFonts w:ascii="Gill Sans MT" w:hAnsi="Gill Sans MT"/>
          <w:b/>
          <w:lang w:val="de-DE"/>
        </w:rPr>
      </w:pPr>
      <w:r w:rsidRPr="00985973">
        <w:rPr>
          <w:rFonts w:ascii="Gill Sans MT" w:hAnsi="Gill Sans MT"/>
          <w:b/>
          <w:lang w:val="de-DE"/>
        </w:rPr>
        <w:t>Die</w:t>
      </w:r>
      <w:r>
        <w:rPr>
          <w:rFonts w:ascii="Gill Sans MT" w:hAnsi="Gill Sans MT"/>
          <w:b/>
          <w:lang w:val="de-DE"/>
        </w:rPr>
        <w:t xml:space="preserve"> Ernährung hat mit 20-30 % </w:t>
      </w:r>
      <w:r w:rsidRPr="00985973">
        <w:rPr>
          <w:rFonts w:ascii="Gill Sans MT" w:hAnsi="Gill Sans MT"/>
          <w:b/>
          <w:lang w:val="de-DE"/>
        </w:rPr>
        <w:t xml:space="preserve">einen großen Anteil an den klimarelevanten </w:t>
      </w:r>
      <w:r>
        <w:rPr>
          <w:rFonts w:ascii="Gill Sans MT" w:hAnsi="Gill Sans MT"/>
          <w:b/>
          <w:lang w:val="de-DE"/>
        </w:rPr>
        <w:t>Treibhausgase</w:t>
      </w:r>
      <w:r w:rsidRPr="00985973">
        <w:rPr>
          <w:rFonts w:ascii="Gill Sans MT" w:hAnsi="Gill Sans MT"/>
          <w:b/>
          <w:lang w:val="de-DE"/>
        </w:rPr>
        <w:t>missionen in Österreich. Ein klimafreundlicheres Ernährungsverhalten senkt nicht nur Treibhausgasemissionen, sondern hat auch einen positiven Einfluss auf die menschliche Gesundheit, den globalen Landverbrauch und damit auch</w:t>
      </w:r>
      <w:r>
        <w:rPr>
          <w:rFonts w:ascii="Gill Sans MT" w:hAnsi="Gill Sans MT"/>
          <w:b/>
          <w:lang w:val="de-DE"/>
        </w:rPr>
        <w:t xml:space="preserve"> auf die Ernährungssicherheit. </w:t>
      </w:r>
      <w:r>
        <w:rPr>
          <w:rFonts w:ascii="Gill Sans MT" w:hAnsi="Gill Sans MT"/>
          <w:b/>
          <w:lang w:val="de-DE"/>
        </w:rPr>
        <w:br/>
      </w:r>
      <w:r w:rsidRPr="00985973">
        <w:rPr>
          <w:rFonts w:ascii="Gill Sans MT" w:hAnsi="Gill Sans MT"/>
          <w:b/>
          <w:lang w:val="de-DE"/>
        </w:rPr>
        <w:t xml:space="preserve">Das </w:t>
      </w:r>
      <w:proofErr w:type="spellStart"/>
      <w:r w:rsidRPr="00985973">
        <w:rPr>
          <w:rFonts w:ascii="Gill Sans MT" w:hAnsi="Gill Sans MT"/>
          <w:b/>
          <w:lang w:val="de-DE"/>
        </w:rPr>
        <w:t>FiBL</w:t>
      </w:r>
      <w:proofErr w:type="spellEnd"/>
      <w:r w:rsidRPr="00985973">
        <w:rPr>
          <w:rFonts w:ascii="Gill Sans MT" w:hAnsi="Gill Sans MT"/>
          <w:b/>
          <w:lang w:val="de-DE"/>
        </w:rPr>
        <w:t xml:space="preserve"> Österreich hat im Rahmen des Klimaforschungsprogramms </w:t>
      </w:r>
      <w:proofErr w:type="spellStart"/>
      <w:r w:rsidRPr="00985973">
        <w:rPr>
          <w:rFonts w:ascii="Gill Sans MT" w:hAnsi="Gill Sans MT"/>
          <w:b/>
          <w:lang w:val="de-DE"/>
        </w:rPr>
        <w:t>StartClim</w:t>
      </w:r>
      <w:proofErr w:type="spellEnd"/>
      <w:r w:rsidRPr="00985973">
        <w:rPr>
          <w:rFonts w:ascii="Gill Sans MT" w:hAnsi="Gill Sans MT"/>
          <w:b/>
          <w:lang w:val="de-DE"/>
        </w:rPr>
        <w:t xml:space="preserve"> in Kooperation mit dem Zentrum für Globalen Wandel und Nachhaltigkeit (Universität für Bodenkultur, Wien) berechnet, wie sich vier unterschiedliche Ernährungsweisen auf Treibhausgasemissionen und Bodenverbrauch auswirken. </w:t>
      </w:r>
    </w:p>
    <w:p w14:paraId="3062E627" w14:textId="77777777" w:rsidR="005F17EE" w:rsidRDefault="005F17EE" w:rsidP="00985973">
      <w:pPr>
        <w:pStyle w:val="FiBLmmstandard"/>
        <w:rPr>
          <w:rFonts w:ascii="Gill Sans MT" w:hAnsi="Gill Sans MT"/>
          <w:b/>
          <w:lang w:val="de-DE"/>
        </w:rPr>
      </w:pPr>
    </w:p>
    <w:p w14:paraId="7346D0FC" w14:textId="21C57D41" w:rsidR="00D30CEA" w:rsidRDefault="00E06042" w:rsidP="00985973">
      <w:pPr>
        <w:pStyle w:val="FiBLmmstandard"/>
        <w:rPr>
          <w:lang w:val="de-DE"/>
        </w:rPr>
      </w:pPr>
      <w:r w:rsidRPr="00DA287C">
        <w:rPr>
          <w:lang w:val="de-DE"/>
        </w:rPr>
        <w:t>(</w:t>
      </w:r>
      <w:r w:rsidR="00D43FD6" w:rsidRPr="00DA287C">
        <w:rPr>
          <w:lang w:val="de-DE"/>
        </w:rPr>
        <w:t>Wien</w:t>
      </w:r>
      <w:r w:rsidRPr="00DA287C">
        <w:rPr>
          <w:lang w:val="de-DE"/>
        </w:rPr>
        <w:t xml:space="preserve">, </w:t>
      </w:r>
      <w:r w:rsidR="00D43FD6" w:rsidRPr="00DA287C">
        <w:rPr>
          <w:lang w:val="de-DE"/>
        </w:rPr>
        <w:t>17.12.2020</w:t>
      </w:r>
      <w:r w:rsidRPr="00DA287C">
        <w:rPr>
          <w:lang w:val="de-DE"/>
        </w:rPr>
        <w:t>)</w:t>
      </w:r>
      <w:r w:rsidRPr="00D43FD6">
        <w:rPr>
          <w:lang w:val="de-DE"/>
        </w:rPr>
        <w:t xml:space="preserve"> </w:t>
      </w:r>
      <w:r w:rsidR="007E6D5B">
        <w:rPr>
          <w:lang w:val="de-DE"/>
        </w:rPr>
        <w:t xml:space="preserve">Die </w:t>
      </w:r>
      <w:r w:rsidR="00D43FD6" w:rsidRPr="00D43FD6">
        <w:rPr>
          <w:lang w:val="de-DE"/>
        </w:rPr>
        <w:t xml:space="preserve">Ernährung hat große Auswirkungen auf Klimawandel, Ressourcennutzung, Biodiversität und Gesundheit. Gegenwärtige Ernährungsweisen in Österreich verursachen besonders hohe Treibhausgas(THG)-Emissionen und viele weitere negative Umwelteffekte, die auch mit der Landnutzung in Übersee verbunden sind. </w:t>
      </w:r>
    </w:p>
    <w:p w14:paraId="0BABF686" w14:textId="52E65C54" w:rsidR="007E6D5B" w:rsidRPr="00DA287C" w:rsidRDefault="005F17EE" w:rsidP="009C0B90">
      <w:pPr>
        <w:pStyle w:val="FiBLmmstandard"/>
        <w:rPr>
          <w:b/>
          <w:lang w:val="de-DE"/>
        </w:rPr>
      </w:pPr>
      <w:r>
        <w:rPr>
          <w:b/>
          <w:lang w:val="de-DE"/>
        </w:rPr>
        <w:t>Ernährungsweise</w:t>
      </w:r>
      <w:r w:rsidR="00DA287C" w:rsidRPr="00DA287C">
        <w:rPr>
          <w:b/>
          <w:lang w:val="de-DE"/>
        </w:rPr>
        <w:t xml:space="preserve"> und Klimawirksamkeit</w:t>
      </w:r>
    </w:p>
    <w:p w14:paraId="54117A6F" w14:textId="084F0EE3" w:rsidR="007E6D5B" w:rsidRDefault="00D43FD6" w:rsidP="009C0B90">
      <w:pPr>
        <w:pStyle w:val="FiBLmmstandard"/>
        <w:rPr>
          <w:lang w:val="de-DE"/>
        </w:rPr>
      </w:pPr>
      <w:r w:rsidRPr="00D43FD6">
        <w:rPr>
          <w:lang w:val="de-DE"/>
        </w:rPr>
        <w:t xml:space="preserve">Zu den Zielen des </w:t>
      </w:r>
      <w:proofErr w:type="spellStart"/>
      <w:r w:rsidR="00A1027F" w:rsidRPr="00A1027F">
        <w:rPr>
          <w:lang w:val="de-DE"/>
        </w:rPr>
        <w:t>StartClim</w:t>
      </w:r>
      <w:proofErr w:type="spellEnd"/>
      <w:r w:rsidR="00A1027F" w:rsidRPr="00A1027F">
        <w:rPr>
          <w:lang w:val="de-DE"/>
        </w:rPr>
        <w:t>-Projekts "DIETCCLU Einfluss von unterschiedlichen Ernährungsweisen auf Klimawandel und Flächeninanspruchnahme in Österreich und Übersee",</w:t>
      </w:r>
      <w:r w:rsidR="007E6D5B">
        <w:rPr>
          <w:lang w:val="de-DE"/>
        </w:rPr>
        <w:t xml:space="preserve"> das das </w:t>
      </w:r>
      <w:proofErr w:type="spellStart"/>
      <w:r w:rsidR="007E6D5B">
        <w:rPr>
          <w:lang w:val="de-DE"/>
        </w:rPr>
        <w:t>FiBL</w:t>
      </w:r>
      <w:proofErr w:type="spellEnd"/>
      <w:r w:rsidR="007E6D5B">
        <w:rPr>
          <w:lang w:val="de-DE"/>
        </w:rPr>
        <w:t xml:space="preserve"> Österreich</w:t>
      </w:r>
      <w:r w:rsidR="007E6D5B" w:rsidRPr="00F77045">
        <w:rPr>
          <w:lang w:val="de-DE"/>
        </w:rPr>
        <w:t xml:space="preserve"> in Kooperation mit dem Zentrum für Globalen Wandel und Nachhaltigkeit</w:t>
      </w:r>
      <w:r w:rsidR="00A1027F">
        <w:rPr>
          <w:lang w:val="de-DE"/>
        </w:rPr>
        <w:t xml:space="preserve"> durchgeführt hat,</w:t>
      </w:r>
      <w:r w:rsidRPr="00D43FD6">
        <w:rPr>
          <w:lang w:val="de-DE"/>
        </w:rPr>
        <w:t xml:space="preserve"> </w:t>
      </w:r>
      <w:r w:rsidR="005F17EE">
        <w:rPr>
          <w:lang w:val="de-DE"/>
        </w:rPr>
        <w:t xml:space="preserve">gehören </w:t>
      </w:r>
      <w:r w:rsidRPr="00D43FD6">
        <w:rPr>
          <w:lang w:val="de-DE"/>
        </w:rPr>
        <w:t>die Berechnung sowie der Vergleich der, bei verschiedenen Ernährungsweisen entstehenden THG-Emissionen entlang des gesamten</w:t>
      </w:r>
      <w:r w:rsidR="00A1027F">
        <w:rPr>
          <w:lang w:val="de-DE"/>
        </w:rPr>
        <w:t xml:space="preserve"> Lebenszyklus der konsumierten </w:t>
      </w:r>
      <w:r w:rsidRPr="00D43FD6">
        <w:rPr>
          <w:lang w:val="de-DE"/>
        </w:rPr>
        <w:t>Lebensmittel. Dabei wird die durchschnittliche, österreichische Ernährung</w:t>
      </w:r>
      <w:r w:rsidR="00A1027F">
        <w:rPr>
          <w:lang w:val="de-DE"/>
        </w:rPr>
        <w:t xml:space="preserve"> sowohl</w:t>
      </w:r>
      <w:r w:rsidRPr="00D43FD6">
        <w:rPr>
          <w:lang w:val="de-DE"/>
        </w:rPr>
        <w:t xml:space="preserve"> mit einer von der Österreichischen Gesellschaft für Ernährung (ÖGE)</w:t>
      </w:r>
      <w:r w:rsidR="00D30CEA">
        <w:rPr>
          <w:lang w:val="de-DE"/>
        </w:rPr>
        <w:t xml:space="preserve"> </w:t>
      </w:r>
      <w:r w:rsidRPr="00D43FD6">
        <w:rPr>
          <w:lang w:val="de-DE"/>
        </w:rPr>
        <w:t xml:space="preserve">empfohlenen Ernährungsweise </w:t>
      </w:r>
      <w:r w:rsidR="00A1027F">
        <w:rPr>
          <w:lang w:val="de-DE"/>
        </w:rPr>
        <w:t>als auch</w:t>
      </w:r>
      <w:r w:rsidRPr="00D43FD6">
        <w:rPr>
          <w:lang w:val="de-DE"/>
        </w:rPr>
        <w:t xml:space="preserve"> mit einer ovo-</w:t>
      </w:r>
      <w:proofErr w:type="spellStart"/>
      <w:r w:rsidRPr="00D43FD6">
        <w:rPr>
          <w:lang w:val="de-DE"/>
        </w:rPr>
        <w:t>lacto</w:t>
      </w:r>
      <w:proofErr w:type="spellEnd"/>
      <w:r w:rsidRPr="00D43FD6">
        <w:rPr>
          <w:lang w:val="de-DE"/>
        </w:rPr>
        <w:t>-vegetarische</w:t>
      </w:r>
      <w:r w:rsidR="005F17EE">
        <w:rPr>
          <w:lang w:val="de-DE"/>
        </w:rPr>
        <w:t>n</w:t>
      </w:r>
      <w:r w:rsidRPr="00D43FD6">
        <w:rPr>
          <w:lang w:val="de-DE"/>
        </w:rPr>
        <w:t xml:space="preserve"> und veganen Variante verglichen. Die Wirkungen hinsichtlich</w:t>
      </w:r>
      <w:r w:rsidR="00A1027F">
        <w:rPr>
          <w:lang w:val="de-DE"/>
        </w:rPr>
        <w:t xml:space="preserve"> der</w:t>
      </w:r>
      <w:r w:rsidRPr="00D43FD6">
        <w:rPr>
          <w:lang w:val="de-DE"/>
        </w:rPr>
        <w:t xml:space="preserve"> THG-Emissionen von konventionellen und biologischen Lebensmitteln werden </w:t>
      </w:r>
      <w:r w:rsidR="007E6D5B">
        <w:rPr>
          <w:lang w:val="de-DE"/>
        </w:rPr>
        <w:t>ebenfalls</w:t>
      </w:r>
      <w:r w:rsidRPr="00D43FD6">
        <w:rPr>
          <w:lang w:val="de-DE"/>
        </w:rPr>
        <w:t xml:space="preserve"> aufgezeigt. </w:t>
      </w:r>
    </w:p>
    <w:p w14:paraId="7ECC58B1" w14:textId="42B4EAEA" w:rsidR="00D30CEA" w:rsidRDefault="005F17EE" w:rsidP="009C0B90">
      <w:pPr>
        <w:pStyle w:val="FiBLmmstandard"/>
        <w:rPr>
          <w:lang w:val="de-DE"/>
        </w:rPr>
      </w:pPr>
      <w:proofErr w:type="spellStart"/>
      <w:r>
        <w:rPr>
          <w:lang w:val="de-DE"/>
        </w:rPr>
        <w:t>Weiters</w:t>
      </w:r>
      <w:proofErr w:type="spellEnd"/>
      <w:r>
        <w:rPr>
          <w:lang w:val="de-DE"/>
        </w:rPr>
        <w:t xml:space="preserve"> </w:t>
      </w:r>
      <w:r w:rsidR="00D43FD6" w:rsidRPr="00D43FD6">
        <w:rPr>
          <w:lang w:val="de-DE"/>
        </w:rPr>
        <w:t>werden die Auswirkungen der Ernährungsvarianten auf</w:t>
      </w:r>
      <w:r w:rsidR="00D30CEA">
        <w:rPr>
          <w:lang w:val="de-DE"/>
        </w:rPr>
        <w:t xml:space="preserve"> Flächenverfügbarkeit im Inland – </w:t>
      </w:r>
      <w:r w:rsidR="00D43FD6" w:rsidRPr="00D43FD6">
        <w:rPr>
          <w:lang w:val="de-DE"/>
        </w:rPr>
        <w:t>und Übersee</w:t>
      </w:r>
      <w:r w:rsidR="00D30CEA">
        <w:rPr>
          <w:lang w:val="de-DE"/>
        </w:rPr>
        <w:t xml:space="preserve"> </w:t>
      </w:r>
      <w:r w:rsidR="00D43FD6" w:rsidRPr="00D43FD6">
        <w:rPr>
          <w:lang w:val="de-DE"/>
        </w:rPr>
        <w:t xml:space="preserve">bezüglich wichtiger landwirtschaftlicher Importgüter </w:t>
      </w:r>
      <w:r w:rsidR="00D30CEA">
        <w:rPr>
          <w:lang w:val="de-DE"/>
        </w:rPr>
        <w:t xml:space="preserve">wie Sojafuttermittel und Palmöl – </w:t>
      </w:r>
      <w:r w:rsidR="00D43FD6" w:rsidRPr="00D43FD6">
        <w:rPr>
          <w:lang w:val="de-DE"/>
        </w:rPr>
        <w:t xml:space="preserve">dargestellt. </w:t>
      </w:r>
    </w:p>
    <w:p w14:paraId="369AFDD8" w14:textId="77777777" w:rsidR="00000544" w:rsidRPr="00000544" w:rsidRDefault="00000544" w:rsidP="00000544">
      <w:pPr>
        <w:pStyle w:val="FiBLmmzusatzinfo"/>
        <w:rPr>
          <w:rFonts w:ascii="Palatino Linotype" w:hAnsi="Palatino Linotype"/>
          <w:lang w:val="de-DE"/>
        </w:rPr>
      </w:pPr>
      <w:r w:rsidRPr="00000544">
        <w:rPr>
          <w:rFonts w:ascii="Palatino Linotype" w:hAnsi="Palatino Linotype"/>
          <w:lang w:val="de-DE"/>
        </w:rPr>
        <w:lastRenderedPageBreak/>
        <w:t>Die wichtigsten Ergebnisse im Überblick</w:t>
      </w:r>
    </w:p>
    <w:p w14:paraId="10DD2779" w14:textId="77777777" w:rsidR="00000544" w:rsidRDefault="00000544" w:rsidP="00000544">
      <w:pPr>
        <w:pStyle w:val="FiBLmmzusatzinfo"/>
        <w:numPr>
          <w:ilvl w:val="0"/>
          <w:numId w:val="5"/>
        </w:numPr>
        <w:rPr>
          <w:rFonts w:ascii="Palatino Linotype" w:hAnsi="Palatino Linotype"/>
          <w:b w:val="0"/>
          <w:lang w:val="de-DE"/>
        </w:rPr>
      </w:pPr>
      <w:r w:rsidRPr="00000544">
        <w:rPr>
          <w:rFonts w:ascii="Palatino Linotype" w:hAnsi="Palatino Linotype"/>
          <w:b w:val="0"/>
          <w:lang w:val="de-DE"/>
        </w:rPr>
        <w:t>Die gegenwärtige durchschnittliche, omnivore Ernährung in Österreich (OMNI IST) verursacht in Summe 1.467 kg CO2-eq-Emissionen/Person und Jahr. Durch die Umstellung auf eine deutlich gesündere Ernährung (OMNI ÖGE) - an die Richtlinien der ÖGE angepasst, d.h.66 % weniger Fleisch - können 28,2 % der THG-Emissionen eingespart werden. Dies ist auf den wesentlich geringeren Anteil an Fleisch- und Wurstprodukten (die einen hohen CO2-Rucksack aufweisen) zurückzuführen.</w:t>
      </w:r>
    </w:p>
    <w:p w14:paraId="3DF1E1DD" w14:textId="77777777" w:rsidR="00000544" w:rsidRDefault="00000544" w:rsidP="00000544">
      <w:pPr>
        <w:pStyle w:val="FiBLmmzusatzinfo"/>
        <w:numPr>
          <w:ilvl w:val="0"/>
          <w:numId w:val="5"/>
        </w:numPr>
        <w:rPr>
          <w:rFonts w:ascii="Palatino Linotype" w:hAnsi="Palatino Linotype"/>
          <w:b w:val="0"/>
          <w:lang w:val="de-DE"/>
        </w:rPr>
      </w:pPr>
      <w:r w:rsidRPr="00000544">
        <w:rPr>
          <w:rFonts w:ascii="Palatino Linotype" w:hAnsi="Palatino Linotype"/>
          <w:b w:val="0"/>
          <w:lang w:val="de-DE"/>
        </w:rPr>
        <w:t>Eine ovo-</w:t>
      </w:r>
      <w:proofErr w:type="spellStart"/>
      <w:r w:rsidRPr="00000544">
        <w:rPr>
          <w:rFonts w:ascii="Palatino Linotype" w:hAnsi="Palatino Linotype"/>
          <w:b w:val="0"/>
          <w:lang w:val="de-DE"/>
        </w:rPr>
        <w:t>lacto</w:t>
      </w:r>
      <w:proofErr w:type="spellEnd"/>
      <w:r w:rsidRPr="00000544">
        <w:rPr>
          <w:rFonts w:ascii="Palatino Linotype" w:hAnsi="Palatino Linotype"/>
          <w:b w:val="0"/>
          <w:lang w:val="de-DE"/>
        </w:rPr>
        <w:t>-vegetarische Ernährung verursacht 767 kg CO2-eq-Emissionen/Person/Jahr und spart somit 47,7 % der THG-Emissionen im Vergleich zu der OMNI IST-Ernährung ein. Das größte THG-Einsparungspotential kann durch einen Umstieg auf eine vegane Ernährung mit lediglich 439 kg CO2-eq pro Person und Jahr erzielt werden, was einer Einsparung von 70,1 % der THG-Emissionen entspricht. Dieses hohe Einsparpotential der vegetarischen und veganen Ernährungsweise hinsichtlich THG (aber auch punkto Flächenbedarf) geht vor allem auf den reduzierten oder nicht vorhandenen Anteil an tierischen Produkten zurück.</w:t>
      </w:r>
    </w:p>
    <w:p w14:paraId="6E71DF5E" w14:textId="77777777" w:rsidR="00000544" w:rsidRDefault="00000544" w:rsidP="00000544">
      <w:pPr>
        <w:pStyle w:val="FiBLmmzusatzinfo"/>
        <w:numPr>
          <w:ilvl w:val="0"/>
          <w:numId w:val="5"/>
        </w:numPr>
        <w:rPr>
          <w:rFonts w:ascii="Palatino Linotype" w:hAnsi="Palatino Linotype"/>
          <w:b w:val="0"/>
          <w:lang w:val="de-DE"/>
        </w:rPr>
      </w:pPr>
      <w:r w:rsidRPr="00000544">
        <w:rPr>
          <w:rFonts w:ascii="Palatino Linotype" w:hAnsi="Palatino Linotype"/>
          <w:b w:val="0"/>
          <w:lang w:val="de-DE"/>
        </w:rPr>
        <w:t>Diese positiven Umwelteffekte werden durch einen jeweiligen 100 % Bioprodukte-Anteil in allen untersuchten Ernährungsvarianten nochmals deutlich gesteigert (in Summe: Bio vegan -76 %, Bio ovo-</w:t>
      </w:r>
      <w:proofErr w:type="spellStart"/>
      <w:r w:rsidRPr="00000544">
        <w:rPr>
          <w:rFonts w:ascii="Palatino Linotype" w:hAnsi="Palatino Linotype"/>
          <w:b w:val="0"/>
          <w:lang w:val="de-DE"/>
        </w:rPr>
        <w:t>lacto</w:t>
      </w:r>
      <w:proofErr w:type="spellEnd"/>
      <w:r w:rsidRPr="00000544">
        <w:rPr>
          <w:rFonts w:ascii="Palatino Linotype" w:hAnsi="Palatino Linotype"/>
          <w:b w:val="0"/>
          <w:lang w:val="de-DE"/>
        </w:rPr>
        <w:t xml:space="preserve"> -57 %, Bio ÖGE -41 % im Vergleich zur gegenwärtigen Ernährung), da die biologische Landwirtschaft in Österreich eine Reduktion der THG-Emissionen auch pro kg Produkt bei den meisten Lebensmitteln bewirkt, insbesondere bei Fleisch und Eiern.</w:t>
      </w:r>
    </w:p>
    <w:p w14:paraId="6CDD49CB" w14:textId="2192F8C2" w:rsidR="00000544" w:rsidRPr="00000544" w:rsidRDefault="00000544" w:rsidP="00000544">
      <w:pPr>
        <w:pStyle w:val="FiBLmmzusatzinfo"/>
        <w:numPr>
          <w:ilvl w:val="0"/>
          <w:numId w:val="5"/>
        </w:numPr>
        <w:rPr>
          <w:rFonts w:ascii="Palatino Linotype" w:hAnsi="Palatino Linotype"/>
          <w:b w:val="0"/>
          <w:lang w:val="de-DE"/>
        </w:rPr>
      </w:pPr>
      <w:bookmarkStart w:id="0" w:name="_GoBack"/>
      <w:bookmarkEnd w:id="0"/>
      <w:r w:rsidRPr="00000544">
        <w:rPr>
          <w:rFonts w:ascii="Palatino Linotype" w:hAnsi="Palatino Linotype"/>
          <w:b w:val="0"/>
          <w:lang w:val="de-DE"/>
        </w:rPr>
        <w:t>Ähnlich wie bei den THG-Emissionen verhält es sich bei den unterschiedlichen Ernährungsweisen und ihrem Einsparpotential punkto Flächenverbrauch für landwirtschaftliche Nutzfläche: So benötigt eine durchschnittliche, omnivore Ernährung mit 1</w:t>
      </w:r>
      <w:r w:rsidRPr="00000544">
        <w:rPr>
          <w:rFonts w:ascii="Palatino Linotype" w:hAnsi="Palatino Linotype"/>
          <w:b w:val="0"/>
          <w:lang w:val="de-DE"/>
        </w:rPr>
        <w:t>.</w:t>
      </w:r>
      <w:r w:rsidRPr="00000544">
        <w:rPr>
          <w:rFonts w:ascii="Palatino Linotype" w:hAnsi="Palatino Linotype"/>
          <w:b w:val="0"/>
          <w:lang w:val="de-DE"/>
        </w:rPr>
        <w:t>832 m2 pro Person und Jahr die größte Fläche von allen Ernährungsweisen. Die geringste Fläche nimmt eine vegane Ernährungsweise mit 629 m2 pro Person und Jahr in Anspruch. Das entspricht einem Einsparpotential von ca. 2/3 der Fläche (65,7 %) gegenüber der durchschnittlichen Ernährungsweise in Österreich. Eine ovo-</w:t>
      </w:r>
      <w:proofErr w:type="spellStart"/>
      <w:r w:rsidRPr="00000544">
        <w:rPr>
          <w:rFonts w:ascii="Palatino Linotype" w:hAnsi="Palatino Linotype"/>
          <w:b w:val="0"/>
          <w:lang w:val="de-DE"/>
        </w:rPr>
        <w:t>lacto</w:t>
      </w:r>
      <w:proofErr w:type="spellEnd"/>
      <w:r w:rsidRPr="00000544">
        <w:rPr>
          <w:rFonts w:ascii="Palatino Linotype" w:hAnsi="Palatino Linotype"/>
          <w:b w:val="0"/>
          <w:lang w:val="de-DE"/>
        </w:rPr>
        <w:t xml:space="preserve">-vegetarische Ernährung spart rund 41,7 % der Fläche gegenüber der </w:t>
      </w:r>
      <w:r w:rsidRPr="00000544">
        <w:rPr>
          <w:rFonts w:ascii="Palatino Linotype" w:hAnsi="Palatino Linotype"/>
          <w:b w:val="0"/>
          <w:lang w:val="de-DE"/>
        </w:rPr>
        <w:lastRenderedPageBreak/>
        <w:t>Durchschnittsernährung pro Jahr und Person ein, eine Ernährung nach den ÖGE-Empfehlungen spart 30,9 % der landwirtschaftlichen Nutzfläche ein.</w:t>
      </w:r>
    </w:p>
    <w:p w14:paraId="38910DA6" w14:textId="0AE40657" w:rsidR="00000544" w:rsidRPr="00000544" w:rsidRDefault="00000544" w:rsidP="00000544">
      <w:pPr>
        <w:pStyle w:val="FiBLmmzusatzinfo"/>
        <w:tabs>
          <w:tab w:val="left" w:pos="990"/>
        </w:tabs>
        <w:rPr>
          <w:rFonts w:ascii="Palatino Linotype" w:hAnsi="Palatino Linotype"/>
          <w:b w:val="0"/>
          <w:lang w:val="de-DE"/>
        </w:rPr>
      </w:pPr>
      <w:r w:rsidRPr="00000544">
        <w:rPr>
          <w:rFonts w:ascii="Palatino Linotype" w:hAnsi="Palatino Linotype"/>
          <w:b w:val="0"/>
          <w:lang w:val="de-DE"/>
        </w:rPr>
        <w:t>Thomas Lindenthal, einer der Studienautoren betont: "Durch den verstärkten Umstieg auf pflanzliche Ernährungsweisen können landwirtschaftliche Nutzflächen in hohem Maße eingespart werden, vor allem dort, wo die Nutztiere Nahrungskonkurrenten für den Menschen sind. Ein solcher Umstieg wird insbesondere für die Zukunft hinsichtlich Krisenrobustheit und Ernährungssicherheit sehr bedeutsam werden. Zudem würde ein solcher nachhaltiger Ernährungsstil auch bei großflächiger biologischer Landwirtschaft die Ernährung bei weitem sicherstellen."</w:t>
      </w:r>
    </w:p>
    <w:p w14:paraId="46985767" w14:textId="77777777" w:rsidR="00000544" w:rsidRPr="00000544" w:rsidRDefault="00000544" w:rsidP="00000544">
      <w:pPr>
        <w:pStyle w:val="FiBLmmzusatzinfo"/>
        <w:rPr>
          <w:rFonts w:ascii="Palatino Linotype" w:hAnsi="Palatino Linotype"/>
          <w:lang w:val="de-DE"/>
        </w:rPr>
      </w:pPr>
      <w:r w:rsidRPr="00000544">
        <w:rPr>
          <w:rFonts w:ascii="Palatino Linotype" w:hAnsi="Palatino Linotype"/>
          <w:lang w:val="de-DE"/>
        </w:rPr>
        <w:t>Empfehlungen für eine ressourcenschonende Ernährung</w:t>
      </w:r>
    </w:p>
    <w:p w14:paraId="58F13498" w14:textId="5D5DDCB0" w:rsidR="00000544" w:rsidRDefault="00000544" w:rsidP="00000544">
      <w:pPr>
        <w:pStyle w:val="FiBLmmzusatzinfo"/>
        <w:rPr>
          <w:rFonts w:ascii="Palatino Linotype" w:hAnsi="Palatino Linotype"/>
          <w:b w:val="0"/>
          <w:lang w:val="de-DE"/>
        </w:rPr>
      </w:pPr>
      <w:r w:rsidRPr="00000544">
        <w:rPr>
          <w:rFonts w:ascii="Palatino Linotype" w:hAnsi="Palatino Linotype"/>
          <w:b w:val="0"/>
          <w:lang w:val="de-DE"/>
        </w:rPr>
        <w:t>Aus den Ergebnissen sowie der gesamtheitlichen Betrachtung lassen sich folgende Empfehlungen für die Etablierung einer möglichst nachhaltigen und ressource</w:t>
      </w:r>
      <w:r>
        <w:rPr>
          <w:rFonts w:ascii="Palatino Linotype" w:hAnsi="Palatino Linotype"/>
          <w:b w:val="0"/>
          <w:lang w:val="de-DE"/>
        </w:rPr>
        <w:t>nschonenden Ernährung ableiten:</w:t>
      </w:r>
    </w:p>
    <w:p w14:paraId="590897F6" w14:textId="77777777" w:rsidR="00000544" w:rsidRDefault="00000544" w:rsidP="00000544">
      <w:pPr>
        <w:pStyle w:val="FiBLmmzusatzinfo"/>
        <w:numPr>
          <w:ilvl w:val="0"/>
          <w:numId w:val="6"/>
        </w:numPr>
        <w:rPr>
          <w:rFonts w:ascii="Palatino Linotype" w:hAnsi="Palatino Linotype"/>
          <w:b w:val="0"/>
          <w:lang w:val="de-DE"/>
        </w:rPr>
      </w:pPr>
      <w:r w:rsidRPr="00000544">
        <w:rPr>
          <w:rFonts w:ascii="Palatino Linotype" w:hAnsi="Palatino Linotype"/>
          <w:b w:val="0"/>
          <w:lang w:val="de-DE"/>
        </w:rPr>
        <w:t>Forcierung von vegetarischen und veganen Ernährungsoptionen</w:t>
      </w:r>
    </w:p>
    <w:p w14:paraId="74CA0798" w14:textId="77777777" w:rsidR="00000544" w:rsidRDefault="00000544" w:rsidP="00000544">
      <w:pPr>
        <w:pStyle w:val="FiBLmmzusatzinfo"/>
        <w:numPr>
          <w:ilvl w:val="0"/>
          <w:numId w:val="6"/>
        </w:numPr>
        <w:rPr>
          <w:rFonts w:ascii="Palatino Linotype" w:hAnsi="Palatino Linotype"/>
          <w:b w:val="0"/>
          <w:lang w:val="de-DE"/>
        </w:rPr>
      </w:pPr>
      <w:r w:rsidRPr="00000544">
        <w:rPr>
          <w:rFonts w:ascii="Palatino Linotype" w:hAnsi="Palatino Linotype"/>
          <w:b w:val="0"/>
          <w:lang w:val="de-DE"/>
        </w:rPr>
        <w:t>Reduktion des Konsums von Fleisch (insbesondere Schweine- und Hühnerfleisch) um 50 %</w:t>
      </w:r>
    </w:p>
    <w:p w14:paraId="24DD9556" w14:textId="05924337" w:rsidR="00000544" w:rsidRPr="00000544" w:rsidRDefault="00000544" w:rsidP="00000544">
      <w:pPr>
        <w:pStyle w:val="FiBLmmzusatzinfo"/>
        <w:numPr>
          <w:ilvl w:val="0"/>
          <w:numId w:val="6"/>
        </w:numPr>
        <w:rPr>
          <w:rFonts w:ascii="Palatino Linotype" w:hAnsi="Palatino Linotype"/>
          <w:b w:val="0"/>
          <w:lang w:val="de-DE"/>
        </w:rPr>
      </w:pPr>
      <w:r w:rsidRPr="00000544">
        <w:rPr>
          <w:rFonts w:ascii="Palatino Linotype" w:hAnsi="Palatino Linotype"/>
          <w:b w:val="0"/>
          <w:lang w:val="de-DE"/>
        </w:rPr>
        <w:t>Maßnahmen zur Steigerung der ganzheitlichen Fleischqualität ausgerichtet auf strenge Nachhaltigkeitskriterien (deutliche THG-Einsparungen und Nachhaltigkeitsvorteile durch Bio-Fleisch)</w:t>
      </w:r>
    </w:p>
    <w:p w14:paraId="57294529" w14:textId="77777777" w:rsidR="00000544" w:rsidRDefault="00000544" w:rsidP="00000544">
      <w:pPr>
        <w:pStyle w:val="FiBLmmzusatzinfo"/>
        <w:rPr>
          <w:rFonts w:ascii="Palatino Linotype" w:hAnsi="Palatino Linotype"/>
          <w:b w:val="0"/>
          <w:lang w:val="de-DE"/>
        </w:rPr>
      </w:pPr>
      <w:r w:rsidRPr="00000544">
        <w:rPr>
          <w:rFonts w:ascii="Palatino Linotype" w:hAnsi="Palatino Linotype"/>
          <w:b w:val="0"/>
          <w:lang w:val="de-DE"/>
        </w:rPr>
        <w:t xml:space="preserve">"Die durchschnittliche österreichische Ernährung hatte den größten klimatischen Impact, die vegane Ernährungsweise in der Biovariante den geringsten" fasst Martin </w:t>
      </w:r>
      <w:proofErr w:type="spellStart"/>
      <w:r w:rsidRPr="00000544">
        <w:rPr>
          <w:rFonts w:ascii="Palatino Linotype" w:hAnsi="Palatino Linotype"/>
          <w:b w:val="0"/>
          <w:lang w:val="de-DE"/>
        </w:rPr>
        <w:t>Schlatzer</w:t>
      </w:r>
      <w:proofErr w:type="spellEnd"/>
      <w:r w:rsidRPr="00000544">
        <w:rPr>
          <w:rFonts w:ascii="Palatino Linotype" w:hAnsi="Palatino Linotype"/>
          <w:b w:val="0"/>
          <w:lang w:val="de-DE"/>
        </w:rPr>
        <w:t xml:space="preserve"> die Ergebnisse zusammen. "Unsere Studie macht deutlich, dass die Umstellung auf eine Ernährung mit wenig Fleisch, vor allem aber eine ovo-</w:t>
      </w:r>
      <w:proofErr w:type="spellStart"/>
      <w:r w:rsidRPr="00000544">
        <w:rPr>
          <w:rFonts w:ascii="Palatino Linotype" w:hAnsi="Palatino Linotype"/>
          <w:b w:val="0"/>
          <w:lang w:val="de-DE"/>
        </w:rPr>
        <w:t>lacto</w:t>
      </w:r>
      <w:proofErr w:type="spellEnd"/>
      <w:r w:rsidRPr="00000544">
        <w:rPr>
          <w:rFonts w:ascii="Palatino Linotype" w:hAnsi="Palatino Linotype"/>
          <w:b w:val="0"/>
          <w:lang w:val="de-DE"/>
        </w:rPr>
        <w:t xml:space="preserve">-vegetarische oder vegane Ernährungsweise, einen deutlichen Vorteil für Klima, Flächenverbrauch und Gesundheit darstellen – eine </w:t>
      </w:r>
      <w:proofErr w:type="spellStart"/>
      <w:r w:rsidRPr="00000544">
        <w:rPr>
          <w:rFonts w:ascii="Palatino Linotype" w:hAnsi="Palatino Linotype"/>
          <w:b w:val="0"/>
          <w:lang w:val="de-DE"/>
        </w:rPr>
        <w:t>Win</w:t>
      </w:r>
      <w:proofErr w:type="spellEnd"/>
      <w:r w:rsidRPr="00000544">
        <w:rPr>
          <w:rFonts w:ascii="Palatino Linotype" w:hAnsi="Palatino Linotype"/>
          <w:b w:val="0"/>
          <w:lang w:val="de-DE"/>
        </w:rPr>
        <w:t>-</w:t>
      </w:r>
      <w:proofErr w:type="spellStart"/>
      <w:r w:rsidRPr="00000544">
        <w:rPr>
          <w:rFonts w:ascii="Palatino Linotype" w:hAnsi="Palatino Linotype"/>
          <w:b w:val="0"/>
          <w:lang w:val="de-DE"/>
        </w:rPr>
        <w:t>Win</w:t>
      </w:r>
      <w:proofErr w:type="spellEnd"/>
      <w:r w:rsidRPr="00000544">
        <w:rPr>
          <w:rFonts w:ascii="Palatino Linotype" w:hAnsi="Palatino Linotype"/>
          <w:b w:val="0"/>
          <w:lang w:val="de-DE"/>
        </w:rPr>
        <w:t>-Situation, sowohl für das Erreichen der Pariser Klimaziele als auch für unsere Gesundheit."</w:t>
      </w:r>
    </w:p>
    <w:p w14:paraId="68813B5A" w14:textId="654F07DD" w:rsidR="00CD4B01" w:rsidRDefault="00CD4B01" w:rsidP="00000544">
      <w:pPr>
        <w:pStyle w:val="FiBLmmzusatzinfo"/>
      </w:pPr>
      <w:proofErr w:type="spellStart"/>
      <w:r>
        <w:t>FiBL</w:t>
      </w:r>
      <w:proofErr w:type="spellEnd"/>
      <w:r>
        <w:t>-Kontakte</w:t>
      </w:r>
      <w:r w:rsidR="00A27464">
        <w:t xml:space="preserve"> </w:t>
      </w:r>
    </w:p>
    <w:p w14:paraId="40CED57F" w14:textId="77777777" w:rsidR="00D43FD6" w:rsidRDefault="00D43FD6" w:rsidP="00D43FD6">
      <w:pPr>
        <w:pStyle w:val="FiBLmmaufzhlungszeichen"/>
      </w:pPr>
      <w:r>
        <w:t xml:space="preserve">Martin </w:t>
      </w:r>
      <w:proofErr w:type="spellStart"/>
      <w:r>
        <w:t>Schlatzer</w:t>
      </w:r>
      <w:proofErr w:type="spellEnd"/>
      <w:r>
        <w:t xml:space="preserve">, wissenschaftlicher Mitarbeiter </w:t>
      </w:r>
      <w:proofErr w:type="spellStart"/>
      <w:r>
        <w:t>FiBL</w:t>
      </w:r>
      <w:proofErr w:type="spellEnd"/>
      <w:r>
        <w:t xml:space="preserve"> Österreich</w:t>
      </w:r>
    </w:p>
    <w:p w14:paraId="59E13A5C" w14:textId="77777777" w:rsidR="003C6406" w:rsidRDefault="0001151E" w:rsidP="00D43FD6">
      <w:pPr>
        <w:pStyle w:val="FiBLmmaufzhlungszeichen"/>
        <w:numPr>
          <w:ilvl w:val="0"/>
          <w:numId w:val="0"/>
        </w:numPr>
        <w:ind w:left="426"/>
      </w:pPr>
      <w:r>
        <w:t>Tel</w:t>
      </w:r>
      <w:r w:rsidR="00866E96">
        <w:t xml:space="preserve"> +</w:t>
      </w:r>
      <w:r w:rsidR="00D43FD6">
        <w:t>43 699 102 867 93</w:t>
      </w:r>
      <w:r w:rsidR="00866E96">
        <w:t xml:space="preserve">, E-Mail </w:t>
      </w:r>
      <w:hyperlink r:id="rId13" w:history="1">
        <w:r w:rsidR="00D43FD6" w:rsidRPr="00BF040B">
          <w:rPr>
            <w:rStyle w:val="Hyperlink"/>
          </w:rPr>
          <w:t>martin.schlatzer@fibl.org</w:t>
        </w:r>
      </w:hyperlink>
    </w:p>
    <w:p w14:paraId="0636ABB6" w14:textId="16E541E8" w:rsidR="00A1027F" w:rsidRDefault="00D43FD6" w:rsidP="00195EC7">
      <w:pPr>
        <w:pStyle w:val="FiBLmmaufzhlungszeichen"/>
      </w:pPr>
      <w:r>
        <w:t>Thomas Lindenthal</w:t>
      </w:r>
      <w:r w:rsidR="007E6D5B">
        <w:t xml:space="preserve">, wissenschaftlicher Mitarbeiter </w:t>
      </w:r>
      <w:proofErr w:type="spellStart"/>
      <w:r w:rsidR="007E6D5B">
        <w:t>FiBL</w:t>
      </w:r>
      <w:proofErr w:type="spellEnd"/>
      <w:r w:rsidR="007E6D5B">
        <w:t xml:space="preserve"> Österreich</w:t>
      </w:r>
      <w:r w:rsidR="00CD4B01">
        <w:br/>
      </w:r>
      <w:r w:rsidR="00CD4B01" w:rsidRPr="00CD4B01">
        <w:t xml:space="preserve">E-Mail </w:t>
      </w:r>
      <w:r w:rsidR="00007A18">
        <w:rPr>
          <w:rStyle w:val="Hyperlink"/>
        </w:rPr>
        <w:t>thomas.</w:t>
      </w:r>
      <w:r w:rsidR="00A1027F">
        <w:rPr>
          <w:rStyle w:val="Hyperlink"/>
        </w:rPr>
        <w:t>lindenthal@fibl.org</w:t>
      </w:r>
    </w:p>
    <w:p w14:paraId="752DD35D" w14:textId="7A6615E4" w:rsidR="00195EC7" w:rsidRDefault="00195EC7" w:rsidP="00195EC7">
      <w:pPr>
        <w:pStyle w:val="FiBLmmzusatzinfo"/>
      </w:pPr>
      <w:r>
        <w:lastRenderedPageBreak/>
        <w:t>Links</w:t>
      </w:r>
    </w:p>
    <w:p w14:paraId="7A128035" w14:textId="7DBABD68" w:rsidR="00661678" w:rsidRDefault="00DA287C" w:rsidP="00A1027F">
      <w:pPr>
        <w:pStyle w:val="FiBLmmstandard"/>
      </w:pPr>
      <w:proofErr w:type="spellStart"/>
      <w:r>
        <w:t>Start</w:t>
      </w:r>
      <w:r w:rsidR="00A1027F">
        <w:t>C</w:t>
      </w:r>
      <w:r>
        <w:t>lim</w:t>
      </w:r>
      <w:proofErr w:type="spellEnd"/>
      <w:r>
        <w:t>-Projektseite</w:t>
      </w:r>
      <w:r w:rsidR="00A1027F">
        <w:t xml:space="preserve">: </w:t>
      </w:r>
      <w:hyperlink r:id="rId14" w:history="1">
        <w:r w:rsidR="00A1027F" w:rsidRPr="002646B8">
          <w:rPr>
            <w:rStyle w:val="Hyperlink"/>
          </w:rPr>
          <w:t>http://www.startclim.at/projektliste</w:t>
        </w:r>
      </w:hyperlink>
      <w:r w:rsidR="00D30CEA">
        <w:t xml:space="preserve"> </w:t>
      </w:r>
    </w:p>
    <w:p w14:paraId="0C0E03B5" w14:textId="584ACB1D" w:rsidR="00D43FD6" w:rsidRPr="00A1027F" w:rsidRDefault="000A0CF7" w:rsidP="00D43FD6">
      <w:pPr>
        <w:pStyle w:val="FiBLmmzusatzinfo"/>
      </w:pPr>
      <w:r>
        <w:t>Bibliographie</w:t>
      </w:r>
      <w:r w:rsidR="00A1027F">
        <w:br/>
      </w:r>
      <w:proofErr w:type="spellStart"/>
      <w:r w:rsidR="00D43FD6" w:rsidRPr="00D43FD6">
        <w:rPr>
          <w:rFonts w:ascii="Palatino Linotype" w:hAnsi="Palatino Linotype"/>
          <w:b w:val="0"/>
          <w:sz w:val="20"/>
        </w:rPr>
        <w:t>Schlatzer</w:t>
      </w:r>
      <w:proofErr w:type="spellEnd"/>
      <w:r w:rsidR="00D43FD6" w:rsidRPr="00D43FD6">
        <w:rPr>
          <w:rFonts w:ascii="Palatino Linotype" w:hAnsi="Palatino Linotype"/>
          <w:b w:val="0"/>
          <w:sz w:val="20"/>
        </w:rPr>
        <w:t xml:space="preserve"> M. und Lindenthal, T. (2020): Einfluss von untersc</w:t>
      </w:r>
      <w:r w:rsidR="00D43FD6">
        <w:rPr>
          <w:rFonts w:ascii="Palatino Linotype" w:hAnsi="Palatino Linotype"/>
          <w:b w:val="0"/>
          <w:sz w:val="20"/>
        </w:rPr>
        <w:t xml:space="preserve">hiedlichen Ernährungsweisen auf </w:t>
      </w:r>
      <w:r w:rsidR="00D43FD6" w:rsidRPr="00D43FD6">
        <w:rPr>
          <w:rFonts w:ascii="Palatino Linotype" w:hAnsi="Palatino Linotype"/>
          <w:b w:val="0"/>
          <w:sz w:val="20"/>
        </w:rPr>
        <w:t>Klimawandel und Flächeninanspruchnahme in Öst</w:t>
      </w:r>
      <w:r w:rsidR="00D43FD6">
        <w:rPr>
          <w:rFonts w:ascii="Palatino Linotype" w:hAnsi="Palatino Linotype"/>
          <w:b w:val="0"/>
          <w:sz w:val="20"/>
        </w:rPr>
        <w:t xml:space="preserve">erreich und Übersee (DIETCCLU). Endbericht </w:t>
      </w:r>
      <w:r w:rsidR="00D43FD6" w:rsidRPr="00D43FD6">
        <w:rPr>
          <w:rFonts w:ascii="Palatino Linotype" w:hAnsi="Palatino Linotype"/>
          <w:b w:val="0"/>
          <w:sz w:val="20"/>
        </w:rPr>
        <w:t>von StartClim2019.B in StartClim2019: Weitere Beiträge zur Umsetzung der österr</w:t>
      </w:r>
      <w:r w:rsidR="00D43FD6">
        <w:rPr>
          <w:rFonts w:ascii="Palatino Linotype" w:hAnsi="Palatino Linotype"/>
          <w:b w:val="0"/>
          <w:sz w:val="20"/>
        </w:rPr>
        <w:t xml:space="preserve">eichischen Anpassungsstrategie, </w:t>
      </w:r>
      <w:r w:rsidR="00D43FD6" w:rsidRPr="00D43FD6">
        <w:rPr>
          <w:rFonts w:ascii="Palatino Linotype" w:hAnsi="Palatino Linotype"/>
          <w:b w:val="0"/>
          <w:sz w:val="20"/>
        </w:rPr>
        <w:t xml:space="preserve">Auftraggeber: BMLFUW, BMWF, </w:t>
      </w:r>
      <w:proofErr w:type="spellStart"/>
      <w:r w:rsidR="00D43FD6" w:rsidRPr="00D43FD6">
        <w:rPr>
          <w:rFonts w:ascii="Palatino Linotype" w:hAnsi="Palatino Linotype"/>
          <w:b w:val="0"/>
          <w:sz w:val="20"/>
        </w:rPr>
        <w:t>ÖBf</w:t>
      </w:r>
      <w:proofErr w:type="spellEnd"/>
      <w:r w:rsidR="00D43FD6" w:rsidRPr="00D43FD6">
        <w:rPr>
          <w:rFonts w:ascii="Palatino Linotype" w:hAnsi="Palatino Linotype"/>
          <w:b w:val="0"/>
          <w:sz w:val="20"/>
        </w:rPr>
        <w:t>, Land Oberösterreich</w:t>
      </w:r>
    </w:p>
    <w:p w14:paraId="10B0E2AA" w14:textId="77777777" w:rsidR="002A7256" w:rsidRDefault="002A7256" w:rsidP="00D43FD6">
      <w:pPr>
        <w:pStyle w:val="FiBLmmzusatzinfo"/>
      </w:pPr>
      <w:r>
        <w:t>Diese Medienmitteilung im Internet</w:t>
      </w:r>
    </w:p>
    <w:p w14:paraId="6CF4582A" w14:textId="77777777" w:rsidR="007C691F" w:rsidRDefault="007C691F" w:rsidP="007C691F">
      <w:pPr>
        <w:pStyle w:val="FiBLmmstandard"/>
      </w:pPr>
      <w:r>
        <w:t xml:space="preserve">Sie finden diese Medienmitteilung einschliesslich Bilder im Internet unter </w:t>
      </w:r>
      <w:hyperlink r:id="rId15" w:history="1">
        <w:r w:rsidR="00D43FD6" w:rsidRPr="00BF040B">
          <w:rPr>
            <w:rStyle w:val="Hyperlink"/>
          </w:rPr>
          <w:t>www.fibl.org/de/medien.html</w:t>
        </w:r>
      </w:hyperlink>
      <w:r w:rsidR="004B6C83">
        <w:t>.</w:t>
      </w:r>
    </w:p>
    <w:p w14:paraId="74E73D3D" w14:textId="77777777" w:rsidR="002C0814" w:rsidRPr="00A04F66" w:rsidRDefault="002C0814" w:rsidP="00A17E51">
      <w:pPr>
        <w:pStyle w:val="FiBLmmerluterungtitel"/>
      </w:pPr>
      <w:r w:rsidRPr="00A17E51">
        <w:t>Über</w:t>
      </w:r>
      <w:r w:rsidRPr="00A04F66">
        <w:t xml:space="preserve"> das </w:t>
      </w:r>
      <w:proofErr w:type="spellStart"/>
      <w:r w:rsidRPr="00A04F66">
        <w:t>FiBL</w:t>
      </w:r>
      <w:proofErr w:type="spellEnd"/>
    </w:p>
    <w:p w14:paraId="66254245" w14:textId="77777777" w:rsidR="002A7256" w:rsidRDefault="009B52A0" w:rsidP="002A7256">
      <w:pPr>
        <w:pStyle w:val="FiBLmmerluterung"/>
      </w:pPr>
      <w:r w:rsidRPr="009B52A0">
        <w:t xml:space="preserve">Das Forschungsinstitut für biologischen Landbau </w:t>
      </w:r>
      <w:proofErr w:type="spellStart"/>
      <w:r w:rsidRPr="009B52A0">
        <w:t>FiBL</w:t>
      </w:r>
      <w:proofErr w:type="spellEnd"/>
      <w:r w:rsidRPr="009B52A0">
        <w:t xml:space="preserve"> ist eine der weltweit führenden Forschungseinrichtungen zur Biolandwirtschaft. Die Stärken des </w:t>
      </w:r>
      <w:proofErr w:type="spellStart"/>
      <w:r w:rsidRPr="009B52A0">
        <w:t>FiBL</w:t>
      </w:r>
      <w:proofErr w:type="spellEnd"/>
      <w:r w:rsidRPr="009B52A0">
        <w:t xml:space="preserve"> sind interdisziplinäre Forschung, gemeinsame Innovationen mit Landwirten und der Lebensmittelbranche sowie ein rascher Wissenstransfer. An den verschiedenen </w:t>
      </w:r>
      <w:proofErr w:type="spellStart"/>
      <w:r w:rsidRPr="009B52A0">
        <w:t>FiBL</w:t>
      </w:r>
      <w:proofErr w:type="spellEnd"/>
      <w:r w:rsidRPr="009B52A0">
        <w:t>-Standorten sind 280 Mitarbeitende tätig.</w:t>
      </w:r>
    </w:p>
    <w:p w14:paraId="3E6C4DAC" w14:textId="77777777" w:rsidR="00F60E58" w:rsidRDefault="00F60E58" w:rsidP="00F60E58">
      <w:pPr>
        <w:pStyle w:val="FiBLmmerluterungaufzhlung"/>
      </w:pPr>
      <w:r>
        <w:t xml:space="preserve">Homepage: </w:t>
      </w:r>
      <w:hyperlink r:id="rId16" w:history="1">
        <w:r w:rsidRPr="00BB38E5">
          <w:rPr>
            <w:rStyle w:val="Hyperlink"/>
          </w:rPr>
          <w:t>www.fibl.org</w:t>
        </w:r>
      </w:hyperlink>
    </w:p>
    <w:p w14:paraId="5BEC9BF2" w14:textId="77777777" w:rsidR="004730C6" w:rsidRDefault="00F60E58" w:rsidP="00425CDF">
      <w:pPr>
        <w:pStyle w:val="FiBLmmerluterungaufzhlung"/>
      </w:pPr>
      <w:r>
        <w:t xml:space="preserve">Video: </w:t>
      </w:r>
      <w:hyperlink r:id="rId17" w:history="1">
        <w:r w:rsidR="001A2005" w:rsidRPr="00423D3F">
          <w:rPr>
            <w:rStyle w:val="Hyperlink"/>
          </w:rPr>
          <w:t>www.youtube.com/watch?v=Zs-dCLDUbQ0</w:t>
        </w:r>
      </w:hyperlink>
    </w:p>
    <w:sectPr w:rsidR="004730C6"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27E38" w14:textId="77777777" w:rsidR="00903748" w:rsidRDefault="00903748" w:rsidP="00F53AA9">
      <w:pPr>
        <w:spacing w:after="0" w:line="240" w:lineRule="auto"/>
      </w:pPr>
      <w:r>
        <w:separator/>
      </w:r>
    </w:p>
  </w:endnote>
  <w:endnote w:type="continuationSeparator" w:id="0">
    <w:p w14:paraId="46262740" w14:textId="77777777" w:rsidR="00903748" w:rsidRDefault="0090374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1E116C1" w14:textId="77777777" w:rsidTr="00C16594">
      <w:trPr>
        <w:trHeight w:val="508"/>
      </w:trPr>
      <w:tc>
        <w:tcPr>
          <w:tcW w:w="7656" w:type="dxa"/>
        </w:tcPr>
        <w:p w14:paraId="342E0572" w14:textId="77777777" w:rsidR="005F17EE" w:rsidRDefault="00F73377" w:rsidP="005F17EE">
          <w:pPr>
            <w:pStyle w:val="FiBLmmfusszeile"/>
          </w:pPr>
          <w:r w:rsidRPr="008A6B50">
            <w:t xml:space="preserve">Forschungsinstitut für biologischen Landbau </w:t>
          </w:r>
          <w:proofErr w:type="spellStart"/>
          <w:r w:rsidRPr="008A6B50">
            <w:t>FiBL</w:t>
          </w:r>
          <w:proofErr w:type="spellEnd"/>
          <w:r w:rsidRPr="008A6B50">
            <w:t xml:space="preserve"> | </w:t>
          </w:r>
          <w:proofErr w:type="spellStart"/>
          <w:r w:rsidR="005F17EE">
            <w:t>Doblhoffgasse</w:t>
          </w:r>
          <w:proofErr w:type="spellEnd"/>
          <w:r w:rsidR="005F17EE">
            <w:t xml:space="preserve"> 7/10 | 1010 Wien</w:t>
          </w:r>
          <w:r w:rsidRPr="008A6B50">
            <w:t xml:space="preserve"> | </w:t>
          </w:r>
        </w:p>
        <w:p w14:paraId="74E32B44" w14:textId="5DC2BE20" w:rsidR="00F73377" w:rsidRPr="008A6B50" w:rsidRDefault="005F17EE" w:rsidP="005F17EE">
          <w:pPr>
            <w:pStyle w:val="FiBLmmfusszeile"/>
          </w:pPr>
          <w:r>
            <w:t>Österreich</w:t>
          </w:r>
          <w:r w:rsidR="001B2B79" w:rsidRPr="008A6B50">
            <w:t xml:space="preserve"> | </w:t>
          </w:r>
          <w:r w:rsidR="0001151E">
            <w:t>Tel</w:t>
          </w:r>
          <w:r w:rsidR="001B2B79">
            <w:t xml:space="preserve"> +4</w:t>
          </w:r>
          <w:r>
            <w:t>3</w:t>
          </w:r>
          <w:r w:rsidR="001B2B79">
            <w:t xml:space="preserve"> </w:t>
          </w:r>
          <w:r>
            <w:t>1 907 63 13 21</w:t>
          </w:r>
          <w:r w:rsidR="00F73377" w:rsidRPr="008A6B50">
            <w:t xml:space="preserve"> | </w:t>
          </w:r>
          <w:hyperlink r:id="rId1" w:history="1">
            <w:r w:rsidRPr="00866DA4">
              <w:rPr>
                <w:rStyle w:val="Hyperlink"/>
              </w:rPr>
              <w:t xml:space="preserve">info.oesterreich@fibl.org </w:t>
            </w:r>
          </w:hyperlink>
          <w:r w:rsidR="00F73377" w:rsidRPr="008A6B50">
            <w:t xml:space="preserve">| </w:t>
          </w:r>
          <w:hyperlink r:id="rId2">
            <w:r w:rsidR="00F73377" w:rsidRPr="008A6B50">
              <w:t>www.fibl.org</w:t>
            </w:r>
          </w:hyperlink>
        </w:p>
      </w:tc>
      <w:tc>
        <w:tcPr>
          <w:tcW w:w="407" w:type="dxa"/>
        </w:tcPr>
        <w:p w14:paraId="49FFB575" w14:textId="77777777" w:rsidR="00F73377" w:rsidRPr="008A6B50" w:rsidRDefault="00F73377" w:rsidP="00DA14CE">
          <w:pPr>
            <w:pStyle w:val="FiBLmmseitennummer"/>
          </w:pPr>
        </w:p>
      </w:tc>
    </w:tr>
  </w:tbl>
  <w:p w14:paraId="6332CE5E"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20B059A" w14:textId="77777777" w:rsidTr="0053530C">
      <w:trPr>
        <w:trHeight w:val="508"/>
      </w:trPr>
      <w:tc>
        <w:tcPr>
          <w:tcW w:w="4923" w:type="pct"/>
        </w:tcPr>
        <w:p w14:paraId="0AA8CA00" w14:textId="67E23E37" w:rsidR="00DA14CE" w:rsidRPr="001926E1" w:rsidRDefault="00DA14CE" w:rsidP="007E6D5B">
          <w:pPr>
            <w:pStyle w:val="FiBLmmfusszeile"/>
          </w:pPr>
          <w:r>
            <w:t xml:space="preserve">Medienmitteilung vom </w:t>
          </w:r>
          <w:r w:rsidR="007E6D5B">
            <w:t>17.12.2020</w:t>
          </w:r>
        </w:p>
      </w:tc>
      <w:tc>
        <w:tcPr>
          <w:tcW w:w="77" w:type="pct"/>
        </w:tcPr>
        <w:p w14:paraId="085A0F56"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000544">
            <w:rPr>
              <w:noProof/>
            </w:rPr>
            <w:t>4</w:t>
          </w:r>
          <w:r w:rsidRPr="00DA14CE">
            <w:fldChar w:fldCharType="end"/>
          </w:r>
        </w:p>
      </w:tc>
    </w:tr>
  </w:tbl>
  <w:p w14:paraId="7BE290A0"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1323E" w14:textId="77777777" w:rsidR="00903748" w:rsidRDefault="00903748" w:rsidP="00F53AA9">
      <w:pPr>
        <w:spacing w:after="0" w:line="240" w:lineRule="auto"/>
      </w:pPr>
      <w:r>
        <w:separator/>
      </w:r>
    </w:p>
  </w:footnote>
  <w:footnote w:type="continuationSeparator" w:id="0">
    <w:p w14:paraId="1FE0B2D2" w14:textId="77777777" w:rsidR="00903748" w:rsidRDefault="00903748"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5683534D" w14:textId="77777777" w:rsidTr="00C16594">
      <w:trPr>
        <w:trHeight w:val="599"/>
      </w:trPr>
      <w:tc>
        <w:tcPr>
          <w:tcW w:w="1616" w:type="dxa"/>
        </w:tcPr>
        <w:p w14:paraId="1311CDA2" w14:textId="77777777" w:rsidR="007666E3" w:rsidRPr="00C725B7" w:rsidRDefault="007666E3" w:rsidP="007666E3">
          <w:pPr>
            <w:pStyle w:val="FiBLmmheader"/>
          </w:pPr>
          <w:r>
            <w:rPr>
              <w:noProof/>
              <w:lang w:val="de-AT" w:eastAsia="de-AT"/>
            </w:rPr>
            <w:drawing>
              <wp:inline distT="0" distB="0" distL="0" distR="0" wp14:anchorId="262758CB" wp14:editId="4E861AD1">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2D0A82C4" w14:textId="77777777" w:rsidR="007666E3" w:rsidRDefault="007666E3" w:rsidP="007666E3">
          <w:pPr>
            <w:tabs>
              <w:tab w:val="right" w:pos="7653"/>
            </w:tabs>
          </w:pPr>
        </w:p>
      </w:tc>
      <w:tc>
        <w:tcPr>
          <w:tcW w:w="2268" w:type="dxa"/>
        </w:tcPr>
        <w:p w14:paraId="0747548D" w14:textId="77777777" w:rsidR="007666E3" w:rsidRDefault="007666E3" w:rsidP="00A033E7">
          <w:pPr>
            <w:tabs>
              <w:tab w:val="right" w:pos="7653"/>
            </w:tabs>
            <w:jc w:val="right"/>
          </w:pPr>
        </w:p>
      </w:tc>
    </w:tr>
  </w:tbl>
  <w:p w14:paraId="071FA604"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5FC484A"/>
    <w:multiLevelType w:val="hybridMultilevel"/>
    <w:tmpl w:val="21CE60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8E70074"/>
    <w:multiLevelType w:val="hybridMultilevel"/>
    <w:tmpl w:val="0B82EC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00544"/>
    <w:rsid w:val="00007A18"/>
    <w:rsid w:val="0001151E"/>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203DD"/>
    <w:rsid w:val="002219A6"/>
    <w:rsid w:val="0022639B"/>
    <w:rsid w:val="00230924"/>
    <w:rsid w:val="00280674"/>
    <w:rsid w:val="002925F1"/>
    <w:rsid w:val="002A7256"/>
    <w:rsid w:val="002B1D53"/>
    <w:rsid w:val="002C0814"/>
    <w:rsid w:val="002C3506"/>
    <w:rsid w:val="002D757B"/>
    <w:rsid w:val="002D7D78"/>
    <w:rsid w:val="002E414D"/>
    <w:rsid w:val="002F586A"/>
    <w:rsid w:val="003150C5"/>
    <w:rsid w:val="003847CC"/>
    <w:rsid w:val="003A4191"/>
    <w:rsid w:val="003C3779"/>
    <w:rsid w:val="003C4537"/>
    <w:rsid w:val="003C6406"/>
    <w:rsid w:val="003D1138"/>
    <w:rsid w:val="003E5C36"/>
    <w:rsid w:val="0041671F"/>
    <w:rsid w:val="00423C89"/>
    <w:rsid w:val="00425CDF"/>
    <w:rsid w:val="0044286A"/>
    <w:rsid w:val="00446B90"/>
    <w:rsid w:val="00450F2F"/>
    <w:rsid w:val="00453BD9"/>
    <w:rsid w:val="004570C7"/>
    <w:rsid w:val="00465871"/>
    <w:rsid w:val="0046602F"/>
    <w:rsid w:val="004730C6"/>
    <w:rsid w:val="004762FE"/>
    <w:rsid w:val="004807B1"/>
    <w:rsid w:val="004B347D"/>
    <w:rsid w:val="004B6C83"/>
    <w:rsid w:val="004C4067"/>
    <w:rsid w:val="004D0109"/>
    <w:rsid w:val="004D6428"/>
    <w:rsid w:val="004E2D3B"/>
    <w:rsid w:val="004F613F"/>
    <w:rsid w:val="00504028"/>
    <w:rsid w:val="0053530C"/>
    <w:rsid w:val="00540B0E"/>
    <w:rsid w:val="00540DAE"/>
    <w:rsid w:val="00555C7D"/>
    <w:rsid w:val="00571E3B"/>
    <w:rsid w:val="00580C94"/>
    <w:rsid w:val="005867AD"/>
    <w:rsid w:val="005938C8"/>
    <w:rsid w:val="0059401F"/>
    <w:rsid w:val="005D0989"/>
    <w:rsid w:val="005F1359"/>
    <w:rsid w:val="005F17EE"/>
    <w:rsid w:val="005F5A7E"/>
    <w:rsid w:val="006410F4"/>
    <w:rsid w:val="00661678"/>
    <w:rsid w:val="0066529D"/>
    <w:rsid w:val="00666824"/>
    <w:rsid w:val="0067476B"/>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D212E"/>
    <w:rsid w:val="007E6D5B"/>
    <w:rsid w:val="007F2027"/>
    <w:rsid w:val="00817B94"/>
    <w:rsid w:val="00823157"/>
    <w:rsid w:val="008417D3"/>
    <w:rsid w:val="00861053"/>
    <w:rsid w:val="00866E96"/>
    <w:rsid w:val="00870F62"/>
    <w:rsid w:val="00872371"/>
    <w:rsid w:val="008A5E8C"/>
    <w:rsid w:val="008A6B50"/>
    <w:rsid w:val="008A7F32"/>
    <w:rsid w:val="008D48AD"/>
    <w:rsid w:val="00903748"/>
    <w:rsid w:val="009109C1"/>
    <w:rsid w:val="00912F05"/>
    <w:rsid w:val="009669B5"/>
    <w:rsid w:val="00981742"/>
    <w:rsid w:val="00982A03"/>
    <w:rsid w:val="00985973"/>
    <w:rsid w:val="00986F71"/>
    <w:rsid w:val="009B52A0"/>
    <w:rsid w:val="009C0B90"/>
    <w:rsid w:val="009C0F61"/>
    <w:rsid w:val="009C7E54"/>
    <w:rsid w:val="00A033E7"/>
    <w:rsid w:val="00A04F66"/>
    <w:rsid w:val="00A1027F"/>
    <w:rsid w:val="00A135C6"/>
    <w:rsid w:val="00A17E51"/>
    <w:rsid w:val="00A27464"/>
    <w:rsid w:val="00A365ED"/>
    <w:rsid w:val="00A57050"/>
    <w:rsid w:val="00A624F0"/>
    <w:rsid w:val="00A83320"/>
    <w:rsid w:val="00AA295A"/>
    <w:rsid w:val="00AC6487"/>
    <w:rsid w:val="00B06148"/>
    <w:rsid w:val="00B116CC"/>
    <w:rsid w:val="00B11B61"/>
    <w:rsid w:val="00B169A5"/>
    <w:rsid w:val="00B25F0B"/>
    <w:rsid w:val="00B273DE"/>
    <w:rsid w:val="00B44024"/>
    <w:rsid w:val="00BB6309"/>
    <w:rsid w:val="00BB7AF8"/>
    <w:rsid w:val="00BC05AC"/>
    <w:rsid w:val="00C10742"/>
    <w:rsid w:val="00C14AA4"/>
    <w:rsid w:val="00C16594"/>
    <w:rsid w:val="00C50896"/>
    <w:rsid w:val="00C54E7B"/>
    <w:rsid w:val="00C725B7"/>
    <w:rsid w:val="00C73E52"/>
    <w:rsid w:val="00C8256D"/>
    <w:rsid w:val="00C93A6C"/>
    <w:rsid w:val="00CC3D03"/>
    <w:rsid w:val="00CD4B01"/>
    <w:rsid w:val="00CE1A38"/>
    <w:rsid w:val="00CF4CEC"/>
    <w:rsid w:val="00D142E7"/>
    <w:rsid w:val="00D20589"/>
    <w:rsid w:val="00D25E6E"/>
    <w:rsid w:val="00D30CEA"/>
    <w:rsid w:val="00D43FD6"/>
    <w:rsid w:val="00D7727C"/>
    <w:rsid w:val="00D82FEC"/>
    <w:rsid w:val="00DA14CE"/>
    <w:rsid w:val="00DA287C"/>
    <w:rsid w:val="00DA5D86"/>
    <w:rsid w:val="00DC15AC"/>
    <w:rsid w:val="00DD0000"/>
    <w:rsid w:val="00DE44EA"/>
    <w:rsid w:val="00E02948"/>
    <w:rsid w:val="00E06042"/>
    <w:rsid w:val="00E26382"/>
    <w:rsid w:val="00E32B51"/>
    <w:rsid w:val="00E433A3"/>
    <w:rsid w:val="00E64975"/>
    <w:rsid w:val="00E71FBF"/>
    <w:rsid w:val="00ED0946"/>
    <w:rsid w:val="00EE2D4C"/>
    <w:rsid w:val="00EF726D"/>
    <w:rsid w:val="00F07B60"/>
    <w:rsid w:val="00F21C5E"/>
    <w:rsid w:val="00F463DB"/>
    <w:rsid w:val="00F53AA9"/>
    <w:rsid w:val="00F60E58"/>
    <w:rsid w:val="00F6745D"/>
    <w:rsid w:val="00F73377"/>
    <w:rsid w:val="00F77045"/>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CB862"/>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Kommentarzeichen">
    <w:name w:val="annotation reference"/>
    <w:basedOn w:val="Absatz-Standardschriftart"/>
    <w:uiPriority w:val="99"/>
    <w:semiHidden/>
    <w:rsid w:val="0067476B"/>
    <w:rPr>
      <w:sz w:val="16"/>
      <w:szCs w:val="16"/>
    </w:rPr>
  </w:style>
  <w:style w:type="paragraph" w:styleId="Kommentartext">
    <w:name w:val="annotation text"/>
    <w:basedOn w:val="Standard"/>
    <w:link w:val="KommentartextZchn"/>
    <w:uiPriority w:val="99"/>
    <w:semiHidden/>
    <w:rsid w:val="006747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476B"/>
    <w:rPr>
      <w:sz w:val="20"/>
      <w:szCs w:val="20"/>
    </w:rPr>
  </w:style>
  <w:style w:type="paragraph" w:styleId="Kommentarthema">
    <w:name w:val="annotation subject"/>
    <w:basedOn w:val="Kommentartext"/>
    <w:next w:val="Kommentartext"/>
    <w:link w:val="KommentarthemaZchn"/>
    <w:uiPriority w:val="99"/>
    <w:semiHidden/>
    <w:rsid w:val="0067476B"/>
    <w:rPr>
      <w:b/>
      <w:bCs/>
    </w:rPr>
  </w:style>
  <w:style w:type="character" w:customStyle="1" w:styleId="KommentarthemaZchn">
    <w:name w:val="Kommentarthema Zchn"/>
    <w:basedOn w:val="KommentartextZchn"/>
    <w:link w:val="Kommentarthema"/>
    <w:uiPriority w:val="99"/>
    <w:semiHidden/>
    <w:rsid w:val="006747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schlatzer@fibl.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youtube.com/watch?v=Zs-dCLDUbQ0" TargetMode="External"/><Relationship Id="rId2" Type="http://schemas.openxmlformats.org/officeDocument/2006/relationships/customXml" Target="../customXml/item2.xml"/><Relationship Id="rId16" Type="http://schemas.openxmlformats.org/officeDocument/2006/relationships/hyperlink" Target="http://www.fib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ibl.org/de/medien.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rtclim.at/projektlis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oesterreich@fibl.org%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93F07815-12FD-4058-8186-81347A62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FF8E0714-2F26-474C-A908-0A925231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6587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Klingbacher Elisabeth</cp:lastModifiedBy>
  <cp:revision>6</cp:revision>
  <cp:lastPrinted>2017-07-05T15:05:00Z</cp:lastPrinted>
  <dcterms:created xsi:type="dcterms:W3CDTF">2020-12-16T17:48:00Z</dcterms:created>
  <dcterms:modified xsi:type="dcterms:W3CDTF">2020-12-17T12:54:00Z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