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FE" w:rsidRPr="00C21CF4" w:rsidRDefault="008325CB" w:rsidP="00453BD9">
      <w:pPr>
        <w:pStyle w:val="FiBLmrsubheader"/>
        <w:sectPr w:rsidR="004762FE" w:rsidRPr="00C21CF4"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C21CF4">
        <w:t>Medienmitteilung</w:t>
      </w:r>
      <w:r w:rsidR="00D311F3">
        <w:t xml:space="preserve"> vom</w:t>
      </w:r>
      <w:r w:rsidR="00181469">
        <w:t xml:space="preserve"> </w:t>
      </w:r>
      <w:r w:rsidR="00D311F3" w:rsidRPr="00D311F3">
        <w:t>1</w:t>
      </w:r>
      <w:r w:rsidR="00BC5FC0">
        <w:t>3</w:t>
      </w:r>
      <w:r w:rsidR="00D311F3" w:rsidRPr="00D311F3">
        <w:t>. Februar 201</w:t>
      </w:r>
      <w:r w:rsidR="00BC5FC0">
        <w:t>9</w:t>
      </w:r>
    </w:p>
    <w:p w:rsidR="008100C8" w:rsidRPr="00977D13" w:rsidRDefault="008100C8" w:rsidP="008100C8">
      <w:pPr>
        <w:pStyle w:val="FiBLmrtitle"/>
      </w:pPr>
      <w:r w:rsidRPr="00977D13">
        <w:t xml:space="preserve">Bio in Europa </w:t>
      </w:r>
      <w:r w:rsidR="00BC5FC0">
        <w:t>wächst weiter</w:t>
      </w:r>
    </w:p>
    <w:p w:rsidR="00DE44EA" w:rsidRPr="005909ED" w:rsidRDefault="0060078C" w:rsidP="008100C8">
      <w:pPr>
        <w:pStyle w:val="FiBLmrtitle"/>
        <w:rPr>
          <w:sz w:val="30"/>
          <w:szCs w:val="30"/>
        </w:rPr>
      </w:pPr>
      <w:r>
        <w:rPr>
          <w:sz w:val="30"/>
          <w:szCs w:val="30"/>
        </w:rPr>
        <w:t xml:space="preserve">Biomarkt </w:t>
      </w:r>
      <w:r w:rsidR="004E26A3">
        <w:rPr>
          <w:sz w:val="30"/>
          <w:szCs w:val="30"/>
        </w:rPr>
        <w:t>bei</w:t>
      </w:r>
      <w:r w:rsidR="008100C8" w:rsidRPr="005909ED">
        <w:rPr>
          <w:sz w:val="30"/>
          <w:szCs w:val="30"/>
        </w:rPr>
        <w:t xml:space="preserve"> </w:t>
      </w:r>
      <w:r>
        <w:rPr>
          <w:sz w:val="30"/>
          <w:szCs w:val="30"/>
        </w:rPr>
        <w:t>über</w:t>
      </w:r>
      <w:r w:rsidR="00A80F3A">
        <w:rPr>
          <w:sz w:val="30"/>
          <w:szCs w:val="30"/>
        </w:rPr>
        <w:t xml:space="preserve"> 37 Milliarden Euro</w:t>
      </w:r>
      <w:r>
        <w:rPr>
          <w:sz w:val="30"/>
          <w:szCs w:val="30"/>
        </w:rPr>
        <w:t xml:space="preserve"> </w:t>
      </w:r>
    </w:p>
    <w:p w:rsidR="008100C8" w:rsidRPr="00C21CF4" w:rsidRDefault="008100C8" w:rsidP="005909ED">
      <w:pPr>
        <w:pStyle w:val="FiBLmrstandard"/>
        <w:keepNext/>
        <w:spacing w:before="120" w:line="240" w:lineRule="auto"/>
        <w:rPr>
          <w:rFonts w:ascii="Gill Sans MT" w:hAnsi="Gill Sans MT"/>
          <w:b/>
        </w:rPr>
      </w:pPr>
      <w:r w:rsidRPr="00C21CF4">
        <w:rPr>
          <w:rFonts w:ascii="Gill Sans MT" w:hAnsi="Gill Sans MT"/>
          <w:b/>
        </w:rPr>
        <w:t>Der Biomarkt in Europa wächst weiter; er legte 201</w:t>
      </w:r>
      <w:r w:rsidR="00BC5FC0">
        <w:rPr>
          <w:rFonts w:ascii="Gill Sans MT" w:hAnsi="Gill Sans MT"/>
          <w:b/>
        </w:rPr>
        <w:t>7</w:t>
      </w:r>
      <w:r w:rsidRPr="00C21CF4">
        <w:rPr>
          <w:rFonts w:ascii="Gill Sans MT" w:hAnsi="Gill Sans MT"/>
          <w:b/>
        </w:rPr>
        <w:t xml:space="preserve"> um </w:t>
      </w:r>
      <w:r w:rsidR="00245F21">
        <w:rPr>
          <w:rFonts w:ascii="Gill Sans MT" w:hAnsi="Gill Sans MT"/>
          <w:b/>
        </w:rPr>
        <w:t xml:space="preserve">fast </w:t>
      </w:r>
      <w:r w:rsidRPr="00C21CF4">
        <w:rPr>
          <w:rFonts w:ascii="Gill Sans MT" w:hAnsi="Gill Sans MT"/>
          <w:b/>
        </w:rPr>
        <w:t>1</w:t>
      </w:r>
      <w:r w:rsidR="008325CB" w:rsidRPr="00C21CF4">
        <w:rPr>
          <w:rFonts w:ascii="Gill Sans MT" w:hAnsi="Gill Sans MT"/>
          <w:b/>
        </w:rPr>
        <w:t>1</w:t>
      </w:r>
      <w:r w:rsidRPr="00C21CF4">
        <w:rPr>
          <w:rFonts w:ascii="Gill Sans MT" w:hAnsi="Gill Sans MT"/>
          <w:b/>
        </w:rPr>
        <w:t xml:space="preserve"> </w:t>
      </w:r>
      <w:r w:rsidR="00245F21">
        <w:rPr>
          <w:rFonts w:ascii="Gill Sans MT" w:hAnsi="Gill Sans MT"/>
          <w:b/>
        </w:rPr>
        <w:t>Prozent</w:t>
      </w:r>
      <w:r w:rsidRPr="00C21CF4">
        <w:rPr>
          <w:rFonts w:ascii="Gill Sans MT" w:hAnsi="Gill Sans MT"/>
          <w:b/>
        </w:rPr>
        <w:t xml:space="preserve"> auf 3</w:t>
      </w:r>
      <w:r w:rsidR="00245F21">
        <w:rPr>
          <w:rFonts w:ascii="Gill Sans MT" w:hAnsi="Gill Sans MT"/>
          <w:b/>
        </w:rPr>
        <w:t>7</w:t>
      </w:r>
      <w:r w:rsidRPr="00C21CF4">
        <w:rPr>
          <w:rFonts w:ascii="Gill Sans MT" w:hAnsi="Gill Sans MT"/>
          <w:b/>
        </w:rPr>
        <w:t>,</w:t>
      </w:r>
      <w:r w:rsidR="00245F21">
        <w:rPr>
          <w:rFonts w:ascii="Gill Sans MT" w:hAnsi="Gill Sans MT"/>
          <w:b/>
        </w:rPr>
        <w:t>3</w:t>
      </w:r>
      <w:r w:rsidR="00022073">
        <w:rPr>
          <w:rFonts w:ascii="Gill Sans MT" w:hAnsi="Gill Sans MT"/>
          <w:b/>
        </w:rPr>
        <w:t> </w:t>
      </w:r>
      <w:r w:rsidRPr="00C21CF4">
        <w:rPr>
          <w:rFonts w:ascii="Gill Sans MT" w:hAnsi="Gill Sans MT"/>
          <w:b/>
        </w:rPr>
        <w:t xml:space="preserve">Milliarden Euro zu. </w:t>
      </w:r>
      <w:r w:rsidR="00245F21">
        <w:rPr>
          <w:rFonts w:ascii="Gill Sans MT" w:hAnsi="Gill Sans MT"/>
          <w:b/>
        </w:rPr>
        <w:t>Viele der</w:t>
      </w:r>
      <w:r w:rsidRPr="00C21CF4">
        <w:rPr>
          <w:rFonts w:ascii="Gill Sans MT" w:hAnsi="Gill Sans MT"/>
          <w:b/>
        </w:rPr>
        <w:t xml:space="preserve"> grossen Märkte verzeichneten zweistellige Wachstumsraten. Anlässlich der BIOFACH in Nürnberg, der Weltleitmesse für Biolebensmittel, stellen das Forschungsins</w:t>
      </w:r>
      <w:r w:rsidR="001819A1" w:rsidRPr="00C21CF4">
        <w:rPr>
          <w:rFonts w:ascii="Gill Sans MT" w:hAnsi="Gill Sans MT"/>
          <w:b/>
        </w:rPr>
        <w:t>titut für biologischen Landbau FiBL</w:t>
      </w:r>
      <w:r w:rsidR="005909ED">
        <w:rPr>
          <w:rFonts w:ascii="Gill Sans MT" w:hAnsi="Gill Sans MT"/>
          <w:b/>
        </w:rPr>
        <w:t xml:space="preserve">, </w:t>
      </w:r>
      <w:r w:rsidRPr="00C21CF4">
        <w:rPr>
          <w:rFonts w:ascii="Gill Sans MT" w:hAnsi="Gill Sans MT"/>
          <w:b/>
        </w:rPr>
        <w:t xml:space="preserve">die Agrarmarkt Informations-Gesellschaft (AMI) </w:t>
      </w:r>
      <w:r w:rsidR="005909ED">
        <w:rPr>
          <w:rFonts w:ascii="Gill Sans MT" w:hAnsi="Gill Sans MT"/>
          <w:b/>
        </w:rPr>
        <w:t xml:space="preserve">und Partner </w:t>
      </w:r>
      <w:r w:rsidRPr="00C21CF4">
        <w:rPr>
          <w:rFonts w:ascii="Gill Sans MT" w:hAnsi="Gill Sans MT"/>
          <w:b/>
        </w:rPr>
        <w:t xml:space="preserve">die Auswertung der Zahlen </w:t>
      </w:r>
      <w:r w:rsidR="00766081" w:rsidRPr="00C21CF4">
        <w:rPr>
          <w:rFonts w:ascii="Gill Sans MT" w:hAnsi="Gill Sans MT"/>
          <w:b/>
        </w:rPr>
        <w:t>201</w:t>
      </w:r>
      <w:r w:rsidR="00BC5FC0">
        <w:rPr>
          <w:rFonts w:ascii="Gill Sans MT" w:hAnsi="Gill Sans MT"/>
          <w:b/>
        </w:rPr>
        <w:t>7</w:t>
      </w:r>
      <w:r w:rsidR="00766081" w:rsidRPr="00C21CF4">
        <w:rPr>
          <w:rFonts w:ascii="Gill Sans MT" w:hAnsi="Gill Sans MT"/>
          <w:b/>
        </w:rPr>
        <w:t xml:space="preserve"> </w:t>
      </w:r>
      <w:r w:rsidRPr="00C21CF4">
        <w:rPr>
          <w:rFonts w:ascii="Gill Sans MT" w:hAnsi="Gill Sans MT"/>
          <w:b/>
        </w:rPr>
        <w:t xml:space="preserve">des </w:t>
      </w:r>
      <w:r w:rsidR="00766081" w:rsidRPr="00C21CF4">
        <w:rPr>
          <w:rFonts w:ascii="Gill Sans MT" w:hAnsi="Gill Sans MT"/>
          <w:b/>
        </w:rPr>
        <w:t>europäischen Biosektors</w:t>
      </w:r>
      <w:r w:rsidRPr="00C21CF4">
        <w:rPr>
          <w:rFonts w:ascii="Gill Sans MT" w:hAnsi="Gill Sans MT"/>
          <w:b/>
        </w:rPr>
        <w:t xml:space="preserve"> vor. Die Daten werden am 1</w:t>
      </w:r>
      <w:r w:rsidR="00BC5FC0">
        <w:rPr>
          <w:rFonts w:ascii="Gill Sans MT" w:hAnsi="Gill Sans MT"/>
          <w:b/>
        </w:rPr>
        <w:t>3</w:t>
      </w:r>
      <w:r w:rsidRPr="00C21CF4">
        <w:rPr>
          <w:rFonts w:ascii="Gill Sans MT" w:hAnsi="Gill Sans MT"/>
          <w:b/>
        </w:rPr>
        <w:t xml:space="preserve">. Februar auf der BIOFACH präsentiert: Messezentrum Nürnberg, </w:t>
      </w:r>
      <w:r w:rsidR="00BC5FC0">
        <w:rPr>
          <w:rFonts w:ascii="Gill Sans MT" w:hAnsi="Gill Sans MT"/>
          <w:b/>
        </w:rPr>
        <w:t>Saal Shanghai</w:t>
      </w:r>
      <w:r w:rsidRPr="00C21CF4">
        <w:rPr>
          <w:rFonts w:ascii="Gill Sans MT" w:hAnsi="Gill Sans MT"/>
          <w:b/>
        </w:rPr>
        <w:t>, 17.00 bis 17.45 Uhr.</w:t>
      </w:r>
    </w:p>
    <w:p w:rsidR="0010418E" w:rsidRPr="00C21CF4" w:rsidRDefault="0010418E" w:rsidP="005909ED">
      <w:pPr>
        <w:pStyle w:val="FiBLmrstandard"/>
        <w:keepNext/>
        <w:spacing w:before="120" w:line="240" w:lineRule="auto"/>
      </w:pPr>
      <w:r w:rsidRPr="00C21CF4">
        <w:t>(Frick/</w:t>
      </w:r>
      <w:r w:rsidR="00582FE9" w:rsidRPr="00C21CF4">
        <w:t>Nürnberg</w:t>
      </w:r>
      <w:r w:rsidRPr="00C21CF4">
        <w:t xml:space="preserve">, </w:t>
      </w:r>
      <w:r w:rsidR="00582FE9" w:rsidRPr="00C21CF4">
        <w:t>1</w:t>
      </w:r>
      <w:r w:rsidR="00BC5FC0">
        <w:t>3</w:t>
      </w:r>
      <w:r w:rsidR="00583E40" w:rsidRPr="00C21CF4">
        <w:t>.</w:t>
      </w:r>
      <w:r w:rsidR="00582FE9" w:rsidRPr="00C21CF4">
        <w:t xml:space="preserve"> </w:t>
      </w:r>
      <w:r w:rsidR="00937648" w:rsidRPr="00C21CF4">
        <w:t>Februar</w:t>
      </w:r>
      <w:r w:rsidRPr="00C21CF4">
        <w:t xml:space="preserve"> 201</w:t>
      </w:r>
      <w:r w:rsidR="00BC5FC0">
        <w:t>9</w:t>
      </w:r>
      <w:r w:rsidRPr="00C21CF4">
        <w:t xml:space="preserve">) </w:t>
      </w:r>
      <w:r w:rsidR="00937648" w:rsidRPr="00C21CF4">
        <w:t>Auch im Jahr 201</w:t>
      </w:r>
      <w:r w:rsidR="00BC5FC0">
        <w:t>7</w:t>
      </w:r>
      <w:r w:rsidR="00937648" w:rsidRPr="00C21CF4">
        <w:t xml:space="preserve"> verzeichnete der europäische Biosektor ein starkes </w:t>
      </w:r>
      <w:r w:rsidR="00F1030B">
        <w:t>Flächen- und Marktwachstum</w:t>
      </w:r>
      <w:r w:rsidR="00937648" w:rsidRPr="00C21CF4">
        <w:t>.</w:t>
      </w:r>
    </w:p>
    <w:p w:rsidR="00CE5EA1" w:rsidRPr="00C21CF4" w:rsidRDefault="00CE5EA1" w:rsidP="00022073">
      <w:pPr>
        <w:pStyle w:val="FiBLmrsubheader"/>
      </w:pPr>
      <w:r w:rsidRPr="00C21CF4">
        <w:t xml:space="preserve">Fast </w:t>
      </w:r>
      <w:r w:rsidR="0060078C">
        <w:t>15</w:t>
      </w:r>
      <w:r w:rsidRPr="00C21CF4">
        <w:t xml:space="preserve"> Millionen Hektar werden biologisch bewirtschaftet – Spanien hat die grösste </w:t>
      </w:r>
      <w:r w:rsidR="005909ED">
        <w:t>Biof</w:t>
      </w:r>
      <w:r w:rsidRPr="00C21CF4">
        <w:t xml:space="preserve">läche </w:t>
      </w:r>
    </w:p>
    <w:p w:rsidR="00CE5EA1" w:rsidRPr="00C21CF4" w:rsidRDefault="002D75D5" w:rsidP="005909ED">
      <w:pPr>
        <w:pStyle w:val="FiBLmrstandard"/>
        <w:keepNext/>
        <w:spacing w:before="120" w:line="240" w:lineRule="auto"/>
      </w:pPr>
      <w:r w:rsidRPr="00C21CF4">
        <w:t>201</w:t>
      </w:r>
      <w:r w:rsidR="00BC5FC0">
        <w:t xml:space="preserve">7 </w:t>
      </w:r>
      <w:r w:rsidRPr="00C21CF4">
        <w:t>wurden i</w:t>
      </w:r>
      <w:r w:rsidR="00CE5EA1" w:rsidRPr="00C21CF4">
        <w:t>n Europa 1</w:t>
      </w:r>
      <w:r w:rsidR="00BC5FC0">
        <w:t>4</w:t>
      </w:r>
      <w:r w:rsidR="00CE5EA1" w:rsidRPr="00C21CF4">
        <w:t>,</w:t>
      </w:r>
      <w:r w:rsidR="00BC5FC0">
        <w:t>6</w:t>
      </w:r>
      <w:r w:rsidR="00CE5EA1" w:rsidRPr="00C21CF4">
        <w:t xml:space="preserve"> Millionen Hektar </w:t>
      </w:r>
      <w:r w:rsidRPr="00C21CF4">
        <w:t>biologisch</w:t>
      </w:r>
      <w:r w:rsidR="00CE5EA1" w:rsidRPr="00C21CF4">
        <w:t xml:space="preserve"> bewirtschaftet (Europäische Union: 12,</w:t>
      </w:r>
      <w:r w:rsidR="00BC5FC0">
        <w:t>8</w:t>
      </w:r>
      <w:r w:rsidR="00CE5EA1" w:rsidRPr="00C21CF4">
        <w:t xml:space="preserve"> Millionen Hektar). Mit 2</w:t>
      </w:r>
      <w:r w:rsidR="00043DF8">
        <w:t>,1</w:t>
      </w:r>
      <w:r w:rsidR="00CE5EA1" w:rsidRPr="00C21CF4">
        <w:t xml:space="preserve"> Millionen Hektar ist Spanien nach wie vor das Land mit der grössten </w:t>
      </w:r>
      <w:r w:rsidR="00E937E8" w:rsidRPr="00C21CF4">
        <w:t>Biof</w:t>
      </w:r>
      <w:r w:rsidR="00CE5EA1" w:rsidRPr="00C21CF4">
        <w:t>läche in Europa, gefolgt von Italien (1,</w:t>
      </w:r>
      <w:r w:rsidR="00043DF8">
        <w:t>9</w:t>
      </w:r>
      <w:r w:rsidR="00CE5EA1" w:rsidRPr="00C21CF4">
        <w:t xml:space="preserve"> Millionen Hektar) und Frankreich (1,</w:t>
      </w:r>
      <w:r w:rsidR="00043DF8">
        <w:t>7</w:t>
      </w:r>
      <w:r w:rsidR="00CE5EA1" w:rsidRPr="00C21CF4">
        <w:t xml:space="preserve"> Millionen Hektar). </w:t>
      </w:r>
    </w:p>
    <w:p w:rsidR="00CE5EA1" w:rsidRPr="00C21CF4" w:rsidRDefault="00C21CF4" w:rsidP="00022073">
      <w:pPr>
        <w:pStyle w:val="FiBLmrsubheader"/>
      </w:pPr>
      <w:r>
        <w:t>Biolandwirtschaftsfläche</w:t>
      </w:r>
      <w:r w:rsidR="00CE5EA1" w:rsidRPr="00C21CF4">
        <w:t xml:space="preserve"> um</w:t>
      </w:r>
      <w:r w:rsidR="00313532">
        <w:t xml:space="preserve"> </w:t>
      </w:r>
      <w:r w:rsidR="00CE5EA1" w:rsidRPr="00C21CF4">
        <w:t xml:space="preserve">eine Million Hektar </w:t>
      </w:r>
      <w:r w:rsidR="005909ED">
        <w:t>ausgeweitet</w:t>
      </w:r>
    </w:p>
    <w:p w:rsidR="00CE5EA1" w:rsidRPr="00C21CF4" w:rsidRDefault="00CE5EA1" w:rsidP="00CE5EA1">
      <w:pPr>
        <w:pStyle w:val="FiBLmrstandard"/>
      </w:pPr>
      <w:r w:rsidRPr="00C21CF4">
        <w:t xml:space="preserve">Die </w:t>
      </w:r>
      <w:r w:rsidR="00C21CF4">
        <w:t>Biof</w:t>
      </w:r>
      <w:r w:rsidRPr="00C21CF4">
        <w:t xml:space="preserve">läche nahm in Europa </w:t>
      </w:r>
      <w:r w:rsidR="00043DF8">
        <w:t xml:space="preserve">um eine Million Hektar und </w:t>
      </w:r>
      <w:r w:rsidR="00C21CF4">
        <w:t xml:space="preserve">in </w:t>
      </w:r>
      <w:r w:rsidRPr="00C21CF4">
        <w:t xml:space="preserve">der Europäischen Union um </w:t>
      </w:r>
      <w:r w:rsidR="00043DF8">
        <w:t>0.8 Mi</w:t>
      </w:r>
      <w:r w:rsidR="00245F21">
        <w:t>llionen Hektar zu,</w:t>
      </w:r>
      <w:r w:rsidRPr="00C21CF4">
        <w:t xml:space="preserve"> was einem Zuwachs von </w:t>
      </w:r>
      <w:r w:rsidR="00245F21">
        <w:t>7,</w:t>
      </w:r>
      <w:r w:rsidR="00043DF8">
        <w:t>6</w:t>
      </w:r>
      <w:r w:rsidRPr="00C21CF4">
        <w:t xml:space="preserve"> Prozent in Europa und </w:t>
      </w:r>
      <w:r w:rsidR="00043DF8">
        <w:t>6,4</w:t>
      </w:r>
      <w:r w:rsidR="00022073">
        <w:t> </w:t>
      </w:r>
      <w:r w:rsidRPr="00C21CF4">
        <w:t xml:space="preserve">Prozent in der Europäischen Union entspricht. </w:t>
      </w:r>
      <w:r w:rsidR="00BB058F" w:rsidRPr="0060078C">
        <w:t>Im Jahr 2017 kamen in Russland mehr als 300'000 Hektar Biofläche hinzu und in Frankreich mehr als 200'000 Hektar</w:t>
      </w:r>
      <w:r w:rsidR="007C03B3" w:rsidRPr="0060078C">
        <w:t>.</w:t>
      </w:r>
    </w:p>
    <w:p w:rsidR="00CE5EA1" w:rsidRPr="00C21CF4" w:rsidRDefault="00CE5EA1" w:rsidP="00022073">
      <w:pPr>
        <w:pStyle w:val="FiBLmrsubheader"/>
      </w:pPr>
      <w:r w:rsidRPr="00C21CF4">
        <w:t xml:space="preserve">Liechtenstein </w:t>
      </w:r>
      <w:r w:rsidR="00C1118E">
        <w:t>hat den</w:t>
      </w:r>
      <w:r w:rsidRPr="00C21CF4">
        <w:t xml:space="preserve"> höchsten </w:t>
      </w:r>
      <w:r w:rsidR="00F1030B">
        <w:t>Bioa</w:t>
      </w:r>
      <w:r w:rsidRPr="00C21CF4">
        <w:t xml:space="preserve">nteil </w:t>
      </w:r>
      <w:r w:rsidR="00986D82">
        <w:t>weltweit</w:t>
      </w:r>
    </w:p>
    <w:p w:rsidR="00CE5EA1" w:rsidRPr="00C21CF4" w:rsidRDefault="00CE5EA1" w:rsidP="00CE5EA1">
      <w:pPr>
        <w:pStyle w:val="FiBLmrstandard"/>
      </w:pPr>
      <w:r w:rsidRPr="00C21CF4">
        <w:t xml:space="preserve">Die </w:t>
      </w:r>
      <w:r w:rsidR="008370EE">
        <w:t>Biofläche</w:t>
      </w:r>
      <w:r w:rsidRPr="00C21CF4">
        <w:t xml:space="preserve"> ma</w:t>
      </w:r>
      <w:r w:rsidR="00B23768">
        <w:t>cht</w:t>
      </w:r>
      <w:r w:rsidRPr="00C21CF4">
        <w:t xml:space="preserve"> </w:t>
      </w:r>
      <w:r w:rsidR="0003114A" w:rsidRPr="00C21CF4">
        <w:t xml:space="preserve">in Europa </w:t>
      </w:r>
      <w:r w:rsidRPr="00C21CF4">
        <w:t>2,</w:t>
      </w:r>
      <w:r w:rsidR="00245F21">
        <w:t>9</w:t>
      </w:r>
      <w:r w:rsidRPr="00C21CF4">
        <w:t xml:space="preserve"> Prozent der gesamten landwirtschaftlichen Nutzfläche und in der Europäischen Union</w:t>
      </w:r>
      <w:r w:rsidR="0003114A">
        <w:t xml:space="preserve"> </w:t>
      </w:r>
      <w:r w:rsidR="00245F21">
        <w:t>7,2</w:t>
      </w:r>
      <w:r w:rsidR="0003114A" w:rsidRPr="00C21CF4">
        <w:t xml:space="preserve"> Prozent</w:t>
      </w:r>
      <w:r w:rsidRPr="00C21CF4">
        <w:t xml:space="preserve"> aus. In Europa (und weltweit) weist Liechtenstein mit</w:t>
      </w:r>
      <w:r w:rsidR="006063DB">
        <w:t xml:space="preserve"> 37,</w:t>
      </w:r>
      <w:r w:rsidR="00245F21">
        <w:t>9</w:t>
      </w:r>
      <w:r w:rsidR="006063DB">
        <w:t xml:space="preserve"> Prozent den höchsten Bioa</w:t>
      </w:r>
      <w:r w:rsidRPr="00C21CF4">
        <w:t xml:space="preserve">nteil </w:t>
      </w:r>
      <w:r w:rsidR="006063DB">
        <w:t>an der</w:t>
      </w:r>
      <w:r w:rsidRPr="00C21CF4">
        <w:t xml:space="preserve"> landwir</w:t>
      </w:r>
      <w:r w:rsidR="006063DB">
        <w:t>tschaftlichen Nutzfläche</w:t>
      </w:r>
      <w:r w:rsidRPr="00C21CF4">
        <w:t xml:space="preserve"> auf, gefolgt von Österreich, dem Land in der Europäisc</w:t>
      </w:r>
      <w:r w:rsidR="006063DB">
        <w:t>hen Union mit dem höchsten Bioa</w:t>
      </w:r>
      <w:r w:rsidRPr="00C21CF4">
        <w:t>nteil</w:t>
      </w:r>
      <w:r w:rsidR="00245F21">
        <w:t xml:space="preserve"> (24 Prozent)</w:t>
      </w:r>
      <w:r w:rsidRPr="00C21CF4">
        <w:t xml:space="preserve">. </w:t>
      </w:r>
      <w:r w:rsidR="00245F21">
        <w:t>Zehn</w:t>
      </w:r>
      <w:r w:rsidR="00245F21" w:rsidRPr="00C21CF4">
        <w:t xml:space="preserve"> </w:t>
      </w:r>
      <w:r w:rsidRPr="00C21CF4">
        <w:t>europäische Lände</w:t>
      </w:r>
      <w:r w:rsidR="00F1030B">
        <w:t>r gaben an, dass mindestens 10 Prozent ihrer Landwirtschaftsfläche</w:t>
      </w:r>
      <w:r w:rsidRPr="00C21CF4">
        <w:t xml:space="preserve"> </w:t>
      </w:r>
      <w:r w:rsidR="002D75D5" w:rsidRPr="00C21CF4">
        <w:t>biologisch</w:t>
      </w:r>
      <w:r w:rsidRPr="00C21CF4">
        <w:t xml:space="preserve"> bewirtschaftet </w:t>
      </w:r>
      <w:r w:rsidR="00CE3525">
        <w:t>werden</w:t>
      </w:r>
      <w:r w:rsidRPr="00C21CF4">
        <w:t xml:space="preserve">. </w:t>
      </w:r>
    </w:p>
    <w:p w:rsidR="00CE5EA1" w:rsidRPr="00C21CF4" w:rsidRDefault="00313532" w:rsidP="00022073">
      <w:pPr>
        <w:pStyle w:val="FiBLmrsubheader"/>
      </w:pPr>
      <w:r>
        <w:lastRenderedPageBreak/>
        <w:t>Fast 400</w:t>
      </w:r>
      <w:r w:rsidR="005909ED">
        <w:t>‘000 Bioproduzenten</w:t>
      </w:r>
    </w:p>
    <w:p w:rsidR="00CE5EA1" w:rsidRPr="00C21CF4" w:rsidRDefault="00CE5EA1" w:rsidP="00CE5EA1">
      <w:pPr>
        <w:pStyle w:val="FiBLmrstandard"/>
      </w:pPr>
      <w:r w:rsidRPr="00C21CF4">
        <w:t>In Europa gab es mehr als 3</w:t>
      </w:r>
      <w:r w:rsidR="00245F21">
        <w:t>9</w:t>
      </w:r>
      <w:r w:rsidRPr="00C21CF4">
        <w:t>0'000 Bi</w:t>
      </w:r>
      <w:r w:rsidR="006063DB">
        <w:t xml:space="preserve">oproduzenten und </w:t>
      </w:r>
      <w:r w:rsidR="00D301BD">
        <w:t>in der Europäischen Union</w:t>
      </w:r>
      <w:r w:rsidR="006063DB">
        <w:t xml:space="preserve"> </w:t>
      </w:r>
      <w:r w:rsidR="00245F21">
        <w:t xml:space="preserve">über </w:t>
      </w:r>
      <w:r w:rsidR="006063DB">
        <w:t xml:space="preserve">300'000. Die </w:t>
      </w:r>
      <w:r w:rsidRPr="00C21CF4">
        <w:t xml:space="preserve">Türkei </w:t>
      </w:r>
      <w:r w:rsidR="006063DB">
        <w:t xml:space="preserve">ist das Land mit den meisten Betrieben </w:t>
      </w:r>
      <w:r w:rsidRPr="00C21CF4">
        <w:t>(</w:t>
      </w:r>
      <w:r w:rsidR="00245F21">
        <w:t>über 75‘000</w:t>
      </w:r>
      <w:r w:rsidRPr="00C21CF4">
        <w:t xml:space="preserve">). Die </w:t>
      </w:r>
      <w:r w:rsidR="006063DB">
        <w:t>Anz</w:t>
      </w:r>
      <w:r w:rsidRPr="00C21CF4">
        <w:t xml:space="preserve">ahl der Produzenten </w:t>
      </w:r>
      <w:r w:rsidR="00D04CCE" w:rsidRPr="00C21CF4">
        <w:t xml:space="preserve">in Europa </w:t>
      </w:r>
      <w:r w:rsidRPr="00C21CF4">
        <w:t xml:space="preserve">wuchs </w:t>
      </w:r>
      <w:r w:rsidR="00D04CCE" w:rsidRPr="00C21CF4">
        <w:t>201</w:t>
      </w:r>
      <w:r w:rsidR="00245F21">
        <w:t>7</w:t>
      </w:r>
      <w:r w:rsidR="00D04CCE" w:rsidRPr="00C21CF4">
        <w:t xml:space="preserve"> </w:t>
      </w:r>
      <w:r w:rsidRPr="00C21CF4">
        <w:t xml:space="preserve">um </w:t>
      </w:r>
      <w:r w:rsidR="00245F21">
        <w:t xml:space="preserve">knapp </w:t>
      </w:r>
      <w:r w:rsidRPr="00C21CF4">
        <w:t>7 Prozent (</w:t>
      </w:r>
      <w:r w:rsidR="00313532">
        <w:t>4</w:t>
      </w:r>
      <w:r w:rsidRPr="00C21CF4">
        <w:t xml:space="preserve"> Prozent in der </w:t>
      </w:r>
      <w:r w:rsidR="004E26A3">
        <w:t>Europäischen Union</w:t>
      </w:r>
      <w:r w:rsidRPr="00C21CF4">
        <w:t xml:space="preserve">). </w:t>
      </w:r>
    </w:p>
    <w:p w:rsidR="00CE5EA1" w:rsidRPr="00C21CF4" w:rsidRDefault="00CE5EA1" w:rsidP="00022073">
      <w:pPr>
        <w:pStyle w:val="FiBLmraddinfo"/>
      </w:pPr>
      <w:r w:rsidRPr="00C21CF4">
        <w:t>Starkes Wachstum bei Ve</w:t>
      </w:r>
      <w:r w:rsidR="00022073">
        <w:t>rarbeitungsbetrieben</w:t>
      </w:r>
      <w:r w:rsidRPr="00C21CF4">
        <w:t xml:space="preserve"> und Importeuren</w:t>
      </w:r>
    </w:p>
    <w:p w:rsidR="00CE5EA1" w:rsidRPr="00C21CF4" w:rsidRDefault="006063DB" w:rsidP="00CE5EA1">
      <w:pPr>
        <w:pStyle w:val="FiBLmrstandard"/>
      </w:pPr>
      <w:r>
        <w:t xml:space="preserve">Es gab </w:t>
      </w:r>
      <w:r w:rsidR="00245F21">
        <w:t>über 71</w:t>
      </w:r>
      <w:r>
        <w:t>'000 Biov</w:t>
      </w:r>
      <w:r w:rsidR="00CE5EA1" w:rsidRPr="00C21CF4">
        <w:t xml:space="preserve">erarbeiter in Europa und </w:t>
      </w:r>
      <w:r w:rsidR="00245F21">
        <w:t>über</w:t>
      </w:r>
      <w:r w:rsidR="00245F21" w:rsidRPr="00C21CF4">
        <w:t xml:space="preserve"> </w:t>
      </w:r>
      <w:r w:rsidR="00CE5EA1" w:rsidRPr="00C21CF4">
        <w:t>6</w:t>
      </w:r>
      <w:r w:rsidR="00245F21">
        <w:t>8</w:t>
      </w:r>
      <w:r w:rsidR="00CE5EA1" w:rsidRPr="00C21CF4">
        <w:t xml:space="preserve">'000 in der Europäischen Union. </w:t>
      </w:r>
      <w:r w:rsidR="00BB058F">
        <w:t>Über</w:t>
      </w:r>
      <w:r w:rsidR="00245F21" w:rsidRPr="00C21CF4">
        <w:t xml:space="preserve"> </w:t>
      </w:r>
      <w:r w:rsidR="00245F21">
        <w:t>5</w:t>
      </w:r>
      <w:r w:rsidR="00CE5EA1" w:rsidRPr="00C21CF4">
        <w:t>'</w:t>
      </w:r>
      <w:r w:rsidR="00245F21">
        <w:t>3</w:t>
      </w:r>
      <w:r w:rsidR="00CE5EA1" w:rsidRPr="00C21CF4">
        <w:t>00 Importeure wurden in Europa gezählt und fast 4'</w:t>
      </w:r>
      <w:r w:rsidR="00245F21">
        <w:t>6</w:t>
      </w:r>
      <w:r w:rsidR="00CE5EA1" w:rsidRPr="00C21CF4">
        <w:t xml:space="preserve">00 in der Europäischen Union. </w:t>
      </w:r>
      <w:r>
        <w:t>Ein b</w:t>
      </w:r>
      <w:r w:rsidR="00CE5EA1" w:rsidRPr="00C21CF4">
        <w:t xml:space="preserve">esonders starkes Wachstum verzeichneten die Importeure, die sowohl in Europa als auch in der Europäischen Union zweistellig zulegten. Das Land mit der grössten Anzahl </w:t>
      </w:r>
      <w:r>
        <w:t>an</w:t>
      </w:r>
      <w:r w:rsidR="00CE5EA1" w:rsidRPr="00C21CF4">
        <w:t xml:space="preserve"> Verarbeitern war Italien (</w:t>
      </w:r>
      <w:r w:rsidR="007C4B79">
        <w:t>über</w:t>
      </w:r>
      <w:r w:rsidR="00022073">
        <w:t xml:space="preserve"> </w:t>
      </w:r>
      <w:r w:rsidR="00CE5EA1" w:rsidRPr="00C21CF4">
        <w:t>1</w:t>
      </w:r>
      <w:r w:rsidR="007C4B79">
        <w:t>8</w:t>
      </w:r>
      <w:r w:rsidR="00CE5EA1" w:rsidRPr="00C21CF4">
        <w:t xml:space="preserve">'000), während Deutschland die meisten Importeure </w:t>
      </w:r>
      <w:r w:rsidR="006C6F92">
        <w:t>aufwies</w:t>
      </w:r>
      <w:r w:rsidR="00CE5EA1" w:rsidRPr="00C21CF4">
        <w:t xml:space="preserve"> (fast 1'</w:t>
      </w:r>
      <w:r w:rsidR="007C4B79">
        <w:t>7</w:t>
      </w:r>
      <w:r w:rsidR="00CE5EA1" w:rsidRPr="00C21CF4">
        <w:t>00).</w:t>
      </w:r>
    </w:p>
    <w:p w:rsidR="00CE5EA1" w:rsidRPr="00C21CF4" w:rsidRDefault="00CE5EA1" w:rsidP="00022073">
      <w:pPr>
        <w:pStyle w:val="FiBLmrsubheader"/>
      </w:pPr>
      <w:r w:rsidRPr="00C21CF4">
        <w:t xml:space="preserve">Einzelhandelsumsätze </w:t>
      </w:r>
      <w:r w:rsidR="007C4B79">
        <w:t>üb</w:t>
      </w:r>
      <w:r w:rsidR="00022073">
        <w:t>e</w:t>
      </w:r>
      <w:r w:rsidR="007C4B79">
        <w:t>r 37 Milliarden Euro</w:t>
      </w:r>
    </w:p>
    <w:p w:rsidR="00CE5EA1" w:rsidRPr="00C21CF4" w:rsidRDefault="00CE5EA1" w:rsidP="005909ED">
      <w:pPr>
        <w:pStyle w:val="FiBLmrstandard"/>
        <w:keepNext/>
        <w:spacing w:before="120"/>
      </w:pPr>
      <w:r w:rsidRPr="00C21CF4">
        <w:t xml:space="preserve">Die Einzelhandelsumsätze in Europa beliefen sich auf </w:t>
      </w:r>
      <w:r w:rsidR="007C4B79">
        <w:t>37</w:t>
      </w:r>
      <w:r w:rsidRPr="00C21CF4">
        <w:t>,</w:t>
      </w:r>
      <w:r w:rsidR="007C4B79">
        <w:t>3</w:t>
      </w:r>
      <w:r w:rsidRPr="00C21CF4">
        <w:t xml:space="preserve"> Milliarden Euro (3</w:t>
      </w:r>
      <w:r w:rsidR="007C4B79">
        <w:t>4</w:t>
      </w:r>
      <w:r w:rsidRPr="00C21CF4">
        <w:t>,</w:t>
      </w:r>
      <w:r w:rsidR="007C4B79">
        <w:t>3</w:t>
      </w:r>
      <w:r w:rsidRPr="00C21CF4">
        <w:t xml:space="preserve"> Milliarden Euro in der Europäischen Union). Die Europäische Union </w:t>
      </w:r>
      <w:r w:rsidR="00A80F3A">
        <w:t>ist</w:t>
      </w:r>
      <w:r w:rsidR="00A80F3A" w:rsidRPr="00C21CF4">
        <w:t xml:space="preserve"> </w:t>
      </w:r>
      <w:r w:rsidRPr="00C21CF4">
        <w:t xml:space="preserve">nach den Vereinigten Staaten </w:t>
      </w:r>
      <w:r w:rsidR="007C4B79">
        <w:t xml:space="preserve">(40 Milliarden Euro) </w:t>
      </w:r>
      <w:r w:rsidRPr="00C21CF4">
        <w:t>de</w:t>
      </w:r>
      <w:r w:rsidR="00A80F3A">
        <w:t>r</w:t>
      </w:r>
      <w:r w:rsidRPr="00C21CF4">
        <w:t xml:space="preserve"> zweitgrösste Binnenmarkt für </w:t>
      </w:r>
      <w:r w:rsidR="001E6585">
        <w:t>Biop</w:t>
      </w:r>
      <w:r w:rsidRPr="00C21CF4">
        <w:t>rodukte</w:t>
      </w:r>
      <w:r w:rsidR="00A80F3A">
        <w:t xml:space="preserve">. </w:t>
      </w:r>
      <w:r w:rsidR="00313532">
        <w:t xml:space="preserve">Das europäische Land mit dem grössten Biomarkt ist Deutschland (10 Milliarden Euro). </w:t>
      </w:r>
    </w:p>
    <w:p w:rsidR="00CE5EA1" w:rsidRPr="00C21CF4" w:rsidRDefault="00022073" w:rsidP="00022073">
      <w:pPr>
        <w:pStyle w:val="FiBLmrsubheader"/>
      </w:pPr>
      <w:r>
        <w:t>Zweistelliges Wachstum beim Einzelhandelsumsatz</w:t>
      </w:r>
      <w:r w:rsidR="00CE5EA1" w:rsidRPr="00C21CF4">
        <w:t xml:space="preserve"> </w:t>
      </w:r>
    </w:p>
    <w:p w:rsidR="00CE5EA1" w:rsidRPr="00C21CF4" w:rsidRDefault="00CE5EA1" w:rsidP="005909ED">
      <w:pPr>
        <w:pStyle w:val="FiBLmrstandard"/>
        <w:keepNext/>
        <w:spacing w:before="120"/>
      </w:pPr>
      <w:r w:rsidRPr="00C21CF4">
        <w:t xml:space="preserve">Der europäische Markt verzeichnete </w:t>
      </w:r>
      <w:r w:rsidR="00022073">
        <w:t xml:space="preserve">2017 </w:t>
      </w:r>
      <w:r w:rsidRPr="00C21CF4">
        <w:t xml:space="preserve">ein Wachstum </w:t>
      </w:r>
      <w:r w:rsidR="00BB058F">
        <w:t xml:space="preserve">von </w:t>
      </w:r>
      <w:r w:rsidR="00313532">
        <w:t>knapp</w:t>
      </w:r>
      <w:r w:rsidRPr="00C21CF4">
        <w:t xml:space="preserve"> 11</w:t>
      </w:r>
      <w:r w:rsidR="007C4B79">
        <w:t xml:space="preserve"> </w:t>
      </w:r>
      <w:r w:rsidRPr="00C21CF4">
        <w:t xml:space="preserve">Prozent, womit </w:t>
      </w:r>
      <w:r w:rsidR="00022073">
        <w:t>er</w:t>
      </w:r>
      <w:r w:rsidRPr="00C21CF4">
        <w:t xml:space="preserve"> zum </w:t>
      </w:r>
      <w:r w:rsidR="007C4B79">
        <w:t>dritten</w:t>
      </w:r>
      <w:r w:rsidR="007C4B79" w:rsidRPr="00C21CF4">
        <w:t xml:space="preserve"> </w:t>
      </w:r>
      <w:r w:rsidRPr="00C21CF4">
        <w:t xml:space="preserve">Mal seit der Finanzkrise zweistellig gewachsen </w:t>
      </w:r>
      <w:r w:rsidR="00A63717">
        <w:t>ist</w:t>
      </w:r>
      <w:r w:rsidRPr="00C21CF4">
        <w:t>.</w:t>
      </w:r>
      <w:r w:rsidR="002B7322">
        <w:t xml:space="preserve"> Der grösste Zuwachs wurde in Frankreich verzeichnet (1</w:t>
      </w:r>
      <w:r w:rsidR="00A63717" w:rsidRPr="00670249">
        <w:t>8 Prozent</w:t>
      </w:r>
      <w:r w:rsidR="002B7322">
        <w:t>)</w:t>
      </w:r>
      <w:r w:rsidR="00A63717" w:rsidRPr="00670249">
        <w:t>.</w:t>
      </w:r>
    </w:p>
    <w:p w:rsidR="00CE5EA1" w:rsidRPr="00C21CF4" w:rsidRDefault="00CE5EA1" w:rsidP="00022073">
      <w:pPr>
        <w:pStyle w:val="FiBLmrsubheader"/>
      </w:pPr>
      <w:r w:rsidRPr="00C21CF4">
        <w:t xml:space="preserve">Europäische Verbraucher geben mehr für </w:t>
      </w:r>
      <w:r w:rsidR="002D75D5" w:rsidRPr="00C21CF4">
        <w:t>biologisch</w:t>
      </w:r>
      <w:r w:rsidRPr="00C21CF4">
        <w:t>e Lebensmittel aus</w:t>
      </w:r>
    </w:p>
    <w:p w:rsidR="00CE5EA1" w:rsidRPr="00C21CF4" w:rsidRDefault="00CE5EA1" w:rsidP="005909ED">
      <w:pPr>
        <w:pStyle w:val="FiBLmrstandard"/>
        <w:keepNext/>
        <w:spacing w:before="120"/>
      </w:pPr>
      <w:r w:rsidRPr="00C21CF4">
        <w:t>In Europa gaben d</w:t>
      </w:r>
      <w:r w:rsidR="00BC69C8">
        <w:t xml:space="preserve">ie Verbraucher </w:t>
      </w:r>
      <w:r w:rsidR="00BB058F">
        <w:t xml:space="preserve">2017 </w:t>
      </w:r>
      <w:r w:rsidR="00BC69C8" w:rsidRPr="00C21CF4">
        <w:t xml:space="preserve">pro Person </w:t>
      </w:r>
      <w:r w:rsidR="00BC69C8">
        <w:t>4</w:t>
      </w:r>
      <w:r w:rsidR="007C4B79">
        <w:t>7</w:t>
      </w:r>
      <w:r w:rsidR="00BC69C8">
        <w:t xml:space="preserve"> Euro für Biol</w:t>
      </w:r>
      <w:r w:rsidRPr="00C21CF4">
        <w:t>ebensmittel aus (Europäische Union: 6</w:t>
      </w:r>
      <w:r w:rsidR="007C4B79">
        <w:t>7</w:t>
      </w:r>
      <w:r w:rsidRPr="00C21CF4">
        <w:t xml:space="preserve"> Euro). Die Pro-Kopf-Verbraucherausgaben für Bio</w:t>
      </w:r>
      <w:r w:rsidR="00272E08">
        <w:t>l</w:t>
      </w:r>
      <w:r w:rsidRPr="00C21CF4">
        <w:t xml:space="preserve">ebensmittel haben </w:t>
      </w:r>
      <w:r w:rsidR="004E26A3">
        <w:t>sich zwischen 2008 und 2017</w:t>
      </w:r>
      <w:r w:rsidRPr="00C21CF4">
        <w:t xml:space="preserve"> verdoppelt. </w:t>
      </w:r>
      <w:r w:rsidR="004E26A3">
        <w:t>2017 gaben die</w:t>
      </w:r>
      <w:r w:rsidRPr="00C21CF4">
        <w:t xml:space="preserve"> Schweizer</w:t>
      </w:r>
      <w:r w:rsidR="00272E08">
        <w:t xml:space="preserve"> am meisten für Biol</w:t>
      </w:r>
      <w:r w:rsidRPr="00C21CF4">
        <w:t>ebensmittel aus (2</w:t>
      </w:r>
      <w:r w:rsidR="007C4B79">
        <w:t>88</w:t>
      </w:r>
      <w:r w:rsidRPr="00C21CF4">
        <w:t xml:space="preserve"> Euro pro Kopf). </w:t>
      </w:r>
    </w:p>
    <w:p w:rsidR="00CE5EA1" w:rsidRPr="00C21CF4" w:rsidRDefault="00BC5FC0" w:rsidP="00022073">
      <w:pPr>
        <w:pStyle w:val="FiBLmrsubheader"/>
      </w:pPr>
      <w:r>
        <w:t>Dän</w:t>
      </w:r>
      <w:r w:rsidR="00245F21">
        <w:t>e</w:t>
      </w:r>
      <w:r>
        <w:t xml:space="preserve">mark hat </w:t>
      </w:r>
      <w:r w:rsidR="007C4B79">
        <w:t xml:space="preserve">mit über 13 Prozent </w:t>
      </w:r>
      <w:r>
        <w:t>den höchsten Biomarktanteil weltweit</w:t>
      </w:r>
    </w:p>
    <w:p w:rsidR="00FA25B6" w:rsidRDefault="004E26A3" w:rsidP="00F1030B">
      <w:pPr>
        <w:pStyle w:val="FiBLmrstandard"/>
      </w:pPr>
      <w:r>
        <w:t>In</w:t>
      </w:r>
      <w:r w:rsidR="00B00215">
        <w:t xml:space="preserve"> den</w:t>
      </w:r>
      <w:r w:rsidR="00CE5EA1" w:rsidRPr="00C21CF4">
        <w:t xml:space="preserve"> europäischen Länder</w:t>
      </w:r>
      <w:r w:rsidR="00B00215">
        <w:t>n</w:t>
      </w:r>
      <w:r w:rsidR="00CE5EA1" w:rsidRPr="00C21CF4">
        <w:t xml:space="preserve"> </w:t>
      </w:r>
      <w:r>
        <w:t>erreichen die Bioumsätze einen hohen Anteil am jeweiligen Gesamtmarkt</w:t>
      </w:r>
      <w:r w:rsidR="007C4B79">
        <w:t xml:space="preserve">, und </w:t>
      </w:r>
      <w:r w:rsidR="00CE5EA1" w:rsidRPr="00C21CF4">
        <w:t>Dänemark hat mi</w:t>
      </w:r>
      <w:r w:rsidR="009F306E">
        <w:t xml:space="preserve">t </w:t>
      </w:r>
      <w:r w:rsidR="007C4B79">
        <w:t>13,3</w:t>
      </w:r>
      <w:r w:rsidR="009F306E">
        <w:t xml:space="preserve"> Prozent den höchsten Bioa</w:t>
      </w:r>
      <w:r w:rsidR="00CE5EA1" w:rsidRPr="00C21CF4">
        <w:t xml:space="preserve">nteil weltweit. Einzelne Produkte und Produktgruppen </w:t>
      </w:r>
      <w:r w:rsidR="009F306E">
        <w:t>haben sogar noch</w:t>
      </w:r>
      <w:r w:rsidR="00CE5EA1" w:rsidRPr="00C21CF4">
        <w:t xml:space="preserve"> höhere Anteile. Bio-Eier </w:t>
      </w:r>
      <w:r w:rsidR="00480A91" w:rsidRPr="00C21CF4">
        <w:t xml:space="preserve">beispielsweise </w:t>
      </w:r>
      <w:r w:rsidR="00CE5EA1" w:rsidRPr="00C21CF4">
        <w:t xml:space="preserve">machen </w:t>
      </w:r>
      <w:r w:rsidR="00480A91" w:rsidRPr="00C21CF4">
        <w:t xml:space="preserve">in mehreren Ländern </w:t>
      </w:r>
      <w:r w:rsidR="007C4B79">
        <w:t>bereits um 3</w:t>
      </w:r>
      <w:r w:rsidR="00CE5EA1" w:rsidRPr="00C21CF4">
        <w:t>0 Prozent des Wertes aller verkauften Eier aus.</w:t>
      </w:r>
      <w:r w:rsidR="00F1030B">
        <w:t xml:space="preserve"> </w:t>
      </w:r>
    </w:p>
    <w:p w:rsidR="00FA25B6" w:rsidRDefault="00FA25B6" w:rsidP="00F1030B">
      <w:pPr>
        <w:pStyle w:val="FiBLmrstandard"/>
      </w:pPr>
    </w:p>
    <w:p w:rsidR="00FA25B6" w:rsidRDefault="00FA25B6" w:rsidP="00022073">
      <w:pPr>
        <w:pStyle w:val="FiBLmraddinfo"/>
      </w:pPr>
      <w:r>
        <w:lastRenderedPageBreak/>
        <w:t>Datensammlung zum Biolandbau in Europa</w:t>
      </w:r>
    </w:p>
    <w:p w:rsidR="00CE5EA1" w:rsidRDefault="00CE5EA1" w:rsidP="00F1030B">
      <w:pPr>
        <w:pStyle w:val="FiBLmrstandard"/>
      </w:pPr>
      <w:r w:rsidRPr="00C21CF4">
        <w:t xml:space="preserve">Die </w:t>
      </w:r>
      <w:r w:rsidR="007F4019">
        <w:t>Erhebung</w:t>
      </w:r>
      <w:r w:rsidRPr="00C21CF4">
        <w:t xml:space="preserve"> zum </w:t>
      </w:r>
      <w:r w:rsidR="002D75D5" w:rsidRPr="00C21CF4">
        <w:t>biologisch</w:t>
      </w:r>
      <w:r w:rsidRPr="00C21CF4">
        <w:t xml:space="preserve">en Landbau in Europa </w:t>
      </w:r>
      <w:r w:rsidR="005909ED">
        <w:t>wird von</w:t>
      </w:r>
      <w:r w:rsidRPr="00C21CF4">
        <w:t xml:space="preserve"> FiBL und AMI durchgeführt. Die </w:t>
      </w:r>
      <w:r w:rsidR="005909ED">
        <w:t>FiBL-</w:t>
      </w:r>
      <w:r w:rsidR="00022073">
        <w:t xml:space="preserve">Datenerhebung erfolgt </w:t>
      </w:r>
      <w:r w:rsidRPr="00C21CF4">
        <w:t xml:space="preserve">im Rahmen der </w:t>
      </w:r>
      <w:r w:rsidR="00426F16" w:rsidRPr="00C21CF4">
        <w:t>globalen Erhebung zum biologischen Landbau</w:t>
      </w:r>
      <w:r w:rsidR="00426F16">
        <w:t xml:space="preserve">, welche </w:t>
      </w:r>
      <w:r w:rsidRPr="00C21CF4">
        <w:t>vom St</w:t>
      </w:r>
      <w:r w:rsidR="00022073">
        <w:t xml:space="preserve">aatssekretariat für Wirtschaft </w:t>
      </w:r>
      <w:r w:rsidRPr="00C21CF4">
        <w:t xml:space="preserve">SECO, </w:t>
      </w:r>
      <w:r w:rsidR="00A53402">
        <w:t xml:space="preserve">dem </w:t>
      </w:r>
      <w:r w:rsidR="00A63717">
        <w:t>I</w:t>
      </w:r>
      <w:r w:rsidR="00A53402">
        <w:t xml:space="preserve">nternationalen Handelszentrum </w:t>
      </w:r>
      <w:r w:rsidRPr="00C21CF4">
        <w:t xml:space="preserve">ITC, </w:t>
      </w:r>
      <w:r w:rsidR="00BC5FC0">
        <w:t xml:space="preserve">dem Coop Fonds für Nachhaltigkeit, </w:t>
      </w:r>
      <w:r w:rsidRPr="00C21CF4">
        <w:t>der NürnbergMesse und IFOAM - Organics International unterstü</w:t>
      </w:r>
      <w:r w:rsidR="00426F16">
        <w:t xml:space="preserve">tzt </w:t>
      </w:r>
      <w:r w:rsidR="00F1030B">
        <w:t>wird</w:t>
      </w:r>
      <w:r w:rsidRPr="00C21CF4">
        <w:t>.</w:t>
      </w:r>
    </w:p>
    <w:p w:rsidR="005909ED" w:rsidRPr="00C21CF4" w:rsidRDefault="005909ED" w:rsidP="00022073">
      <w:pPr>
        <w:pStyle w:val="FiBLmraddinfo"/>
      </w:pPr>
      <w:r>
        <w:t>Weitere Informationen</w:t>
      </w:r>
    </w:p>
    <w:p w:rsidR="005909ED" w:rsidRPr="00C21CF4" w:rsidRDefault="005909ED" w:rsidP="00022073">
      <w:pPr>
        <w:pStyle w:val="FiBLmrsubheader"/>
      </w:pPr>
      <w:r w:rsidRPr="00C21CF4">
        <w:t>Kontakt</w:t>
      </w:r>
    </w:p>
    <w:p w:rsidR="005909ED" w:rsidRDefault="005909ED" w:rsidP="005909ED">
      <w:pPr>
        <w:pStyle w:val="FiBLmrbulletpoint"/>
      </w:pPr>
      <w:r w:rsidRPr="00C21CF4">
        <w:t>Dr. Helga Willer, FiBL, Ackerstrasse 113, 5070 Frick, Schweiz</w:t>
      </w:r>
      <w:r>
        <w:br/>
        <w:t xml:space="preserve">Tel </w:t>
      </w:r>
      <w:r w:rsidRPr="00C21CF4">
        <w:t>+41 (0)79</w:t>
      </w:r>
      <w:r>
        <w:t> </w:t>
      </w:r>
      <w:r w:rsidRPr="00C21CF4">
        <w:t>218</w:t>
      </w:r>
      <w:r>
        <w:t xml:space="preserve"> </w:t>
      </w:r>
      <w:r w:rsidRPr="00C21CF4">
        <w:t>06</w:t>
      </w:r>
      <w:r>
        <w:t xml:space="preserve"> 26, </w:t>
      </w:r>
      <w:hyperlink r:id="rId13" w:history="1">
        <w:r w:rsidRPr="00EB0A3C">
          <w:rPr>
            <w:rStyle w:val="Hyperlink"/>
          </w:rPr>
          <w:t>helga.willer@fibl.org</w:t>
        </w:r>
      </w:hyperlink>
      <w:r>
        <w:t xml:space="preserve">, </w:t>
      </w:r>
      <w:hyperlink r:id="rId14" w:history="1">
        <w:r w:rsidRPr="00EB0A3C">
          <w:rPr>
            <w:rStyle w:val="Hyperlink"/>
          </w:rPr>
          <w:t>www.fibl.org</w:t>
        </w:r>
      </w:hyperlink>
    </w:p>
    <w:p w:rsidR="005909ED" w:rsidRPr="00C21CF4" w:rsidRDefault="005909ED" w:rsidP="005909ED">
      <w:pPr>
        <w:pStyle w:val="FiBLmrbulletpoint"/>
      </w:pPr>
      <w:r w:rsidRPr="00C21CF4">
        <w:t>Diana Schaack, AMI – Agrarmarkt Informations-Gesellschaft mbH, Dreizehnmorgenweg 10, 53175 Bonn, Deutschland</w:t>
      </w:r>
      <w:r>
        <w:br/>
        <w:t>Tel</w:t>
      </w:r>
      <w:r w:rsidRPr="00C21CF4">
        <w:t xml:space="preserve"> +49 228 33805-0, </w:t>
      </w:r>
      <w:hyperlink r:id="rId15" w:history="1">
        <w:r w:rsidRPr="00EB0A3C">
          <w:rPr>
            <w:rStyle w:val="Hyperlink"/>
          </w:rPr>
          <w:t>diana.schaack@ami-informiert.de</w:t>
        </w:r>
      </w:hyperlink>
      <w:r w:rsidRPr="00C21CF4">
        <w:t xml:space="preserve">, </w:t>
      </w:r>
      <w:hyperlink r:id="rId16" w:history="1">
        <w:r w:rsidRPr="00C21CF4">
          <w:rPr>
            <w:rStyle w:val="Hyperlink"/>
          </w:rPr>
          <w:t>www.ami-informiert.de</w:t>
        </w:r>
      </w:hyperlink>
    </w:p>
    <w:p w:rsidR="009B0C59" w:rsidRPr="00C21CF4" w:rsidRDefault="00527CF1" w:rsidP="00022073">
      <w:pPr>
        <w:pStyle w:val="FiBLmrsubheader"/>
      </w:pPr>
      <w:r w:rsidRPr="00C21CF4">
        <w:t>Download, Inf</w:t>
      </w:r>
      <w:r w:rsidR="00022073">
        <w:t>ografiken und Online-Datenbank</w:t>
      </w:r>
    </w:p>
    <w:p w:rsidR="009B0C59" w:rsidRPr="00B779F4" w:rsidRDefault="009B0C59" w:rsidP="00A63717">
      <w:pPr>
        <w:pStyle w:val="FiBLmrbulletpoint"/>
        <w:rPr>
          <w:lang w:val="en-US"/>
        </w:rPr>
      </w:pPr>
      <w:r w:rsidRPr="00B779F4">
        <w:rPr>
          <w:lang w:val="en-US"/>
        </w:rPr>
        <w:t>„The World of Organic Agriculture 201</w:t>
      </w:r>
      <w:r w:rsidR="00BC5FC0" w:rsidRPr="00B779F4">
        <w:rPr>
          <w:lang w:val="en-US"/>
        </w:rPr>
        <w:t>9</w:t>
      </w:r>
      <w:r w:rsidRPr="00B779F4">
        <w:rPr>
          <w:lang w:val="en-US"/>
        </w:rPr>
        <w:t>“</w:t>
      </w:r>
      <w:r w:rsidR="00022073" w:rsidRPr="00B779F4">
        <w:rPr>
          <w:lang w:val="en-US"/>
        </w:rPr>
        <w:t xml:space="preserve"> (Download, Grafiken)</w:t>
      </w:r>
      <w:r w:rsidRPr="00B779F4">
        <w:rPr>
          <w:lang w:val="en-US"/>
        </w:rPr>
        <w:t xml:space="preserve">: </w:t>
      </w:r>
      <w:r w:rsidR="00A63717" w:rsidRPr="00B779F4">
        <w:rPr>
          <w:rStyle w:val="Hyperlink"/>
          <w:lang w:val="en-US"/>
        </w:rPr>
        <w:t>www.organic-world.net/yearbook/yearbook-2019.html</w:t>
      </w:r>
    </w:p>
    <w:p w:rsidR="009B0C59" w:rsidRDefault="00291FFE" w:rsidP="00291FFE">
      <w:pPr>
        <w:pStyle w:val="FiBLmrbulletpoint"/>
      </w:pPr>
      <w:r w:rsidRPr="00C21CF4">
        <w:t>Infografiken</w:t>
      </w:r>
      <w:r w:rsidR="009B0C59" w:rsidRPr="00C21CF4">
        <w:t xml:space="preserve">: </w:t>
      </w:r>
      <w:hyperlink r:id="rId17" w:history="1">
        <w:r w:rsidR="00A80F3A" w:rsidRPr="00A80F3A">
          <w:rPr>
            <w:rStyle w:val="Hyperlink"/>
          </w:rPr>
          <w:t>http://www.organic-world.net/yearbook/yearbook-2019/infographics.html</w:t>
        </w:r>
      </w:hyperlink>
    </w:p>
    <w:p w:rsidR="009B0C59" w:rsidRDefault="00291FFE" w:rsidP="00291FFE">
      <w:pPr>
        <w:pStyle w:val="FiBLmrbulletpoint"/>
      </w:pPr>
      <w:r w:rsidRPr="00C21CF4">
        <w:t xml:space="preserve">FiBL-Statistiken zum Biolandbau weltweit: </w:t>
      </w:r>
      <w:hyperlink r:id="rId18" w:history="1">
        <w:r w:rsidR="00A63717" w:rsidRPr="00280BDC">
          <w:rPr>
            <w:rStyle w:val="Hyperlink"/>
          </w:rPr>
          <w:t>https://statistics.fibl.org</w:t>
        </w:r>
      </w:hyperlink>
    </w:p>
    <w:p w:rsidR="0010418E" w:rsidRPr="00C21CF4" w:rsidRDefault="0010418E" w:rsidP="00022073">
      <w:pPr>
        <w:pStyle w:val="FiBLmrsubheader"/>
      </w:pPr>
      <w:r w:rsidRPr="00C21CF4">
        <w:t>Links</w:t>
      </w:r>
      <w:bookmarkStart w:id="0" w:name="_GoBack"/>
      <w:bookmarkEnd w:id="0"/>
    </w:p>
    <w:p w:rsidR="0010418E" w:rsidRPr="00C21CF4" w:rsidRDefault="0010418E" w:rsidP="00BC5FC0">
      <w:pPr>
        <w:pStyle w:val="FiBLmrbulletpoint"/>
      </w:pPr>
      <w:r w:rsidRPr="00C21CF4">
        <w:t xml:space="preserve">fibl.org: </w:t>
      </w:r>
      <w:r w:rsidR="00291FFE" w:rsidRPr="00C21CF4">
        <w:t>Website des Forschungsinstituts</w:t>
      </w:r>
      <w:r w:rsidR="00C92DC4">
        <w:t xml:space="preserve"> für biologischen Landbau FiBL</w:t>
      </w:r>
    </w:p>
    <w:p w:rsidR="0010418E" w:rsidRPr="00C21CF4" w:rsidRDefault="0010418E" w:rsidP="00291FFE">
      <w:pPr>
        <w:pStyle w:val="FiBLmrbulletpoint"/>
      </w:pPr>
      <w:r w:rsidRPr="00C21CF4">
        <w:t xml:space="preserve">ami-informiert.de: </w:t>
      </w:r>
      <w:r w:rsidR="00291FFE" w:rsidRPr="00C21CF4">
        <w:t xml:space="preserve">Website der </w:t>
      </w:r>
      <w:r w:rsidR="00A63717">
        <w:t xml:space="preserve">AMI - </w:t>
      </w:r>
      <w:r w:rsidR="00291FFE" w:rsidRPr="00C21CF4">
        <w:t>Agrarmarkt Inf</w:t>
      </w:r>
      <w:r w:rsidR="00A63717">
        <w:t>ormations-Gesellschaft mbH</w:t>
      </w:r>
    </w:p>
    <w:p w:rsidR="0010418E" w:rsidRPr="00C21CF4" w:rsidRDefault="0010418E" w:rsidP="00291FFE">
      <w:pPr>
        <w:pStyle w:val="FiBLmrbulletpoint"/>
      </w:pPr>
      <w:r w:rsidRPr="00C21CF4">
        <w:t xml:space="preserve">biofach.de: </w:t>
      </w:r>
      <w:r w:rsidR="00291FFE" w:rsidRPr="00C21CF4">
        <w:t>Website der BIOFACH</w:t>
      </w:r>
    </w:p>
    <w:p w:rsidR="005909ED" w:rsidRDefault="005909ED" w:rsidP="005909ED">
      <w:pPr>
        <w:pStyle w:val="FiBLmrsubheader"/>
      </w:pPr>
      <w:r>
        <w:t>Bio in Europa auf der BIOFACH</w:t>
      </w:r>
    </w:p>
    <w:p w:rsidR="005909ED" w:rsidRDefault="005909ED" w:rsidP="005909ED">
      <w:pPr>
        <w:pStyle w:val="FiBLmrbulletpoint"/>
      </w:pPr>
      <w:r>
        <w:t xml:space="preserve">Das Jahrbuch </w:t>
      </w:r>
      <w:r w:rsidRPr="00007999">
        <w:rPr>
          <w:b/>
        </w:rPr>
        <w:t>"The World of Organic Agriculture"</w:t>
      </w:r>
      <w:r>
        <w:t xml:space="preserve"> ist auf der BIOFACH am FiBL-Stand in Halle 1 (Stand 553) erhältlich. Das Buch enthält ein ausführliches Kapitel über Bio in Europa mit vielen Tabellen und Grafiken</w:t>
      </w:r>
      <w:r w:rsidR="00022073">
        <w:t xml:space="preserve"> </w:t>
      </w:r>
    </w:p>
    <w:p w:rsidR="005909ED" w:rsidRDefault="005909ED" w:rsidP="005909ED">
      <w:pPr>
        <w:pStyle w:val="FiBLmrbulletpoint"/>
      </w:pPr>
      <w:r>
        <w:t>Die Veranstaltung zum europäischen Biomarkt</w:t>
      </w:r>
      <w:r w:rsidR="00F1030B">
        <w:t xml:space="preserve"> auf der </w:t>
      </w:r>
      <w:r w:rsidR="00022073">
        <w:t>BIOFACH</w:t>
      </w:r>
      <w:r>
        <w:t xml:space="preserve"> findet am </w:t>
      </w:r>
      <w:r w:rsidRPr="00F1030B">
        <w:rPr>
          <w:b/>
        </w:rPr>
        <w:t>1</w:t>
      </w:r>
      <w:r w:rsidR="00BC5FC0">
        <w:rPr>
          <w:b/>
        </w:rPr>
        <w:t>3</w:t>
      </w:r>
      <w:r w:rsidRPr="00F1030B">
        <w:rPr>
          <w:b/>
        </w:rPr>
        <w:t>. Februar 201</w:t>
      </w:r>
      <w:r w:rsidR="00A80F3A">
        <w:rPr>
          <w:b/>
        </w:rPr>
        <w:t>9</w:t>
      </w:r>
      <w:r w:rsidRPr="00F1030B">
        <w:rPr>
          <w:b/>
        </w:rPr>
        <w:t xml:space="preserve"> von 17:00 bis 17:45 Uhr im </w:t>
      </w:r>
      <w:r w:rsidR="00A80F3A">
        <w:rPr>
          <w:b/>
        </w:rPr>
        <w:t xml:space="preserve">Saal </w:t>
      </w:r>
      <w:r w:rsidR="007C03B3">
        <w:rPr>
          <w:b/>
        </w:rPr>
        <w:t>Shanghai,</w:t>
      </w:r>
      <w:r w:rsidR="00022073">
        <w:t xml:space="preserve"> Messezentrum Nürnberg statt</w:t>
      </w:r>
      <w:r>
        <w:t xml:space="preserve"> (Programm siehe unten). </w:t>
      </w:r>
    </w:p>
    <w:p w:rsidR="00313532" w:rsidRDefault="00313532" w:rsidP="00313532">
      <w:pPr>
        <w:pStyle w:val="FiBLmrbulletpoint"/>
        <w:numPr>
          <w:ilvl w:val="0"/>
          <w:numId w:val="0"/>
        </w:numPr>
        <w:ind w:left="717" w:hanging="360"/>
      </w:pPr>
    </w:p>
    <w:p w:rsidR="00313532" w:rsidRDefault="00313532" w:rsidP="00313532">
      <w:pPr>
        <w:pStyle w:val="FiBLmrbulletpoint"/>
        <w:numPr>
          <w:ilvl w:val="0"/>
          <w:numId w:val="0"/>
        </w:numPr>
        <w:ind w:left="717" w:hanging="360"/>
      </w:pPr>
    </w:p>
    <w:p w:rsidR="00646E4A" w:rsidRPr="00C21CF4" w:rsidRDefault="008A3482" w:rsidP="008A3482">
      <w:pPr>
        <w:pStyle w:val="FiBLmraddinfo"/>
      </w:pPr>
      <w:r w:rsidRPr="00C21CF4">
        <w:t>Vortragsveranstaltung zum europäischen Biomarkt auf der BIOFACH</w:t>
      </w:r>
      <w:r w:rsidR="00C92DC4">
        <w:t xml:space="preserve"> 201</w:t>
      </w:r>
      <w:r w:rsidR="008E7F9F">
        <w:t>9</w:t>
      </w:r>
      <w:r w:rsidRPr="00C21CF4">
        <w:br/>
        <w:t>(„The European market for organic food“)</w:t>
      </w:r>
    </w:p>
    <w:p w:rsidR="00646E4A" w:rsidRDefault="00304682" w:rsidP="00646E4A">
      <w:pPr>
        <w:pStyle w:val="FiBLmrstandard"/>
      </w:pPr>
      <w:r>
        <w:t xml:space="preserve">Mittwoch, </w:t>
      </w:r>
      <w:r w:rsidR="00E71BBC">
        <w:t>1</w:t>
      </w:r>
      <w:r w:rsidR="007C4B79">
        <w:t>3</w:t>
      </w:r>
      <w:r w:rsidR="00E71BBC">
        <w:t>. Februar</w:t>
      </w:r>
      <w:r>
        <w:t xml:space="preserve"> 201</w:t>
      </w:r>
      <w:r w:rsidR="007C4B79">
        <w:t>9</w:t>
      </w:r>
      <w:r w:rsidR="00E71BBC">
        <w:t xml:space="preserve">, 17:00–17:45 Uhr, </w:t>
      </w:r>
      <w:r w:rsidR="00022073">
        <w:t>Saal Shanghai,</w:t>
      </w:r>
      <w:r w:rsidR="00E71BBC">
        <w:t xml:space="preserve"> NürnbergMesse, Nürnberg</w:t>
      </w:r>
      <w:r w:rsidR="007C4B79">
        <w:t xml:space="preserve">, </w:t>
      </w:r>
      <w:hyperlink r:id="rId19" w:anchor="top" w:history="1">
        <w:r w:rsidR="00022073" w:rsidRPr="00B26A5E">
          <w:rPr>
            <w:rStyle w:val="Hyperlink"/>
          </w:rPr>
          <w:t>https://www.biofach.de/de/events/vortrag/der-europaeische-markt-fuer-bio-lebensmittel-daten-aus-2018/691742#top</w:t>
        </w:r>
      </w:hyperlink>
    </w:p>
    <w:p w:rsidR="00022073" w:rsidRPr="00022073" w:rsidRDefault="00022073" w:rsidP="00646E4A">
      <w:pPr>
        <w:pStyle w:val="FiBLmrstandard"/>
        <w:rPr>
          <w:color w:val="000000" w:themeColor="text1"/>
        </w:rPr>
      </w:pPr>
      <w:r w:rsidRPr="00670249">
        <w:rPr>
          <w:color w:val="000000" w:themeColor="text1"/>
        </w:rPr>
        <w:t xml:space="preserve">Sprache der Veranstaltung ist Englisch; Simultanübersetzung </w:t>
      </w:r>
      <w:r>
        <w:rPr>
          <w:color w:val="000000" w:themeColor="text1"/>
        </w:rPr>
        <w:t>Deutsch</w:t>
      </w:r>
    </w:p>
    <w:p w:rsidR="00646E4A" w:rsidRPr="00B779F4" w:rsidRDefault="009B0C59" w:rsidP="008A3482">
      <w:pPr>
        <w:pStyle w:val="FiBLmrbulletpoint"/>
        <w:rPr>
          <w:lang w:val="en-US"/>
        </w:rPr>
      </w:pPr>
      <w:r w:rsidRPr="00B779F4">
        <w:rPr>
          <w:lang w:val="en-US"/>
        </w:rPr>
        <w:t xml:space="preserve">Dr. Susanne Padel, The Organic Research Centre, UK, </w:t>
      </w:r>
      <w:r w:rsidR="0017595D" w:rsidRPr="00B779F4">
        <w:rPr>
          <w:lang w:val="en-US"/>
        </w:rPr>
        <w:t>Moderation</w:t>
      </w:r>
    </w:p>
    <w:p w:rsidR="00A63717" w:rsidRPr="00C21CF4" w:rsidRDefault="00A63717" w:rsidP="00A63717">
      <w:pPr>
        <w:pStyle w:val="FiBLmrbulletpoint"/>
      </w:pPr>
      <w:r w:rsidRPr="00C21CF4">
        <w:t xml:space="preserve">Dr. Helga Willer, Forschungsinstitut für biologischen Landbau FiBL, </w:t>
      </w:r>
      <w:r>
        <w:t>Schweiz</w:t>
      </w:r>
    </w:p>
    <w:p w:rsidR="00A63717" w:rsidRPr="00C21CF4" w:rsidRDefault="00A63717" w:rsidP="00A63717">
      <w:pPr>
        <w:pStyle w:val="FiBLmrbulletpoint"/>
      </w:pPr>
      <w:r w:rsidRPr="00C21CF4">
        <w:t>Diana Schaack, Agrarmarkt Informations-Gesellschaft mbH (AMI), Deutschland</w:t>
      </w:r>
    </w:p>
    <w:p w:rsidR="009B0C59" w:rsidRPr="00C21CF4" w:rsidRDefault="007C4B79" w:rsidP="008A3482">
      <w:pPr>
        <w:pStyle w:val="FiBLmrbulletpoint"/>
      </w:pPr>
      <w:r>
        <w:t>Dorian Flechet,</w:t>
      </w:r>
      <w:r w:rsidRPr="00C21CF4">
        <w:t xml:space="preserve"> </w:t>
      </w:r>
      <w:r w:rsidR="009B0C59" w:rsidRPr="00C21CF4">
        <w:t xml:space="preserve">Agence </w:t>
      </w:r>
      <w:r w:rsidR="008E7F9F">
        <w:t>Bio</w:t>
      </w:r>
      <w:r w:rsidR="009B0C59" w:rsidRPr="00C21CF4">
        <w:t xml:space="preserve">, </w:t>
      </w:r>
      <w:r w:rsidR="008A3482" w:rsidRPr="00C21CF4">
        <w:t>Frankreich</w:t>
      </w:r>
    </w:p>
    <w:p w:rsidR="009B0C59" w:rsidRPr="00C21CF4" w:rsidRDefault="007C4B79" w:rsidP="008A3482">
      <w:pPr>
        <w:pStyle w:val="FiBLmrbulletpoint"/>
      </w:pPr>
      <w:r>
        <w:t>Clare Mc Dermo</w:t>
      </w:r>
      <w:r w:rsidR="00A80F3A">
        <w:t>t</w:t>
      </w:r>
      <w:r>
        <w:t>t</w:t>
      </w:r>
      <w:r w:rsidR="009B0C59" w:rsidRPr="00C21CF4">
        <w:t xml:space="preserve">, Soil Association, </w:t>
      </w:r>
      <w:r w:rsidR="008E7F9F">
        <w:t>UK</w:t>
      </w:r>
    </w:p>
    <w:p w:rsidR="00646E4A" w:rsidRPr="00C21CF4" w:rsidRDefault="00B63C88" w:rsidP="001B7823">
      <w:pPr>
        <w:pStyle w:val="FiBLmrbulletpoint"/>
      </w:pPr>
      <w:r>
        <w:t xml:space="preserve">Dr. </w:t>
      </w:r>
      <w:r w:rsidR="001B7823" w:rsidRPr="001B7823">
        <w:t>Francesco Solfanelli</w:t>
      </w:r>
      <w:r w:rsidR="009B0C59" w:rsidRPr="00C21CF4">
        <w:t>, Unive</w:t>
      </w:r>
      <w:r w:rsidR="00313532">
        <w:t>rsità Politecnica delle Marche,</w:t>
      </w:r>
      <w:r w:rsidR="009B0C59" w:rsidRPr="00C21CF4">
        <w:t xml:space="preserve"> </w:t>
      </w:r>
      <w:r w:rsidR="00D35602">
        <w:t>Italien</w:t>
      </w:r>
    </w:p>
    <w:p w:rsidR="00646E4A" w:rsidRPr="00C21CF4" w:rsidRDefault="002E78C0" w:rsidP="00646E4A">
      <w:pPr>
        <w:pStyle w:val="FiBLmrstandard"/>
      </w:pPr>
      <w:r w:rsidRPr="00C21CF4">
        <w:t xml:space="preserve">Weitere Informationen unter </w:t>
      </w:r>
      <w:r w:rsidR="004E26A3" w:rsidRPr="004E26A3">
        <w:rPr>
          <w:rStyle w:val="Hyperlink"/>
        </w:rPr>
        <w:t>https://biofach.fibl.org/de/biofach-2019.html</w:t>
      </w:r>
      <w:r w:rsidR="004E26A3">
        <w:rPr>
          <w:rStyle w:val="Hyperlink"/>
        </w:rPr>
        <w:t>.</w:t>
      </w:r>
    </w:p>
    <w:p w:rsidR="00F678FA" w:rsidRPr="00C21CF4" w:rsidRDefault="0018097B" w:rsidP="00F678FA">
      <w:pPr>
        <w:pStyle w:val="FiBLmraddinfo"/>
      </w:pPr>
      <w:r w:rsidRPr="00C21CF4">
        <w:t>Diese Medienmitteilung im Internet</w:t>
      </w:r>
    </w:p>
    <w:p w:rsidR="00F678FA" w:rsidRPr="00C21CF4" w:rsidRDefault="0018097B" w:rsidP="00F678FA">
      <w:pPr>
        <w:pStyle w:val="FiBLmrstandard"/>
      </w:pPr>
      <w:r w:rsidRPr="00C21CF4">
        <w:t>Diese Medienmitteilung und Grafiken können im Internet abgerufen werden über</w:t>
      </w:r>
      <w:r w:rsidR="00F678FA" w:rsidRPr="00C21CF4">
        <w:t xml:space="preserve"> </w:t>
      </w:r>
      <w:hyperlink r:id="rId20" w:history="1">
        <w:r w:rsidR="00022073" w:rsidRPr="00022073">
          <w:t xml:space="preserve"> </w:t>
        </w:r>
        <w:r w:rsidR="00022073" w:rsidRPr="00022073">
          <w:rPr>
            <w:rStyle w:val="Hyperlink"/>
          </w:rPr>
          <w:t>https://www.fibl.org/de/medien.html</w:t>
        </w:r>
      </w:hyperlink>
      <w:r w:rsidR="00F678FA" w:rsidRPr="00C21CF4">
        <w:t>.</w:t>
      </w:r>
    </w:p>
    <w:p w:rsidR="002C0814" w:rsidRPr="00D35602" w:rsidRDefault="00D35602" w:rsidP="0044286A">
      <w:pPr>
        <w:pStyle w:val="FiBLmrannotationtitle"/>
      </w:pPr>
      <w:r>
        <w:t>Über das FiBL</w:t>
      </w:r>
    </w:p>
    <w:p w:rsidR="002D757B" w:rsidRDefault="00D35602" w:rsidP="00F04498">
      <w:pPr>
        <w:pStyle w:val="FiBLmrannotation"/>
        <w:rPr>
          <w:lang w:val="de-CH"/>
        </w:rPr>
      </w:pPr>
      <w:r w:rsidRPr="00D35602">
        <w:rPr>
          <w:lang w:val="de-CH"/>
        </w:rPr>
        <w:t xml:space="preserve">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w:t>
      </w:r>
      <w:r w:rsidR="00A80F3A">
        <w:rPr>
          <w:lang w:val="de-CH"/>
        </w:rPr>
        <w:t>300</w:t>
      </w:r>
      <w:r w:rsidR="00A80F3A" w:rsidRPr="00D35602">
        <w:rPr>
          <w:lang w:val="de-CH"/>
        </w:rPr>
        <w:t xml:space="preserve"> </w:t>
      </w:r>
      <w:r w:rsidRPr="00D35602">
        <w:rPr>
          <w:lang w:val="de-CH"/>
        </w:rPr>
        <w:t>Mitarbeitende tätig.</w:t>
      </w:r>
    </w:p>
    <w:p w:rsidR="00D35602" w:rsidRDefault="00D35602" w:rsidP="00D35602">
      <w:pPr>
        <w:pStyle w:val="FiBLmrannotationbulletpoint"/>
      </w:pPr>
      <w:r>
        <w:t>Homepage</w:t>
      </w:r>
      <w:r w:rsidR="00613117">
        <w:t xml:space="preserve">: </w:t>
      </w:r>
      <w:hyperlink r:id="rId21" w:history="1">
        <w:r w:rsidR="00613117" w:rsidRPr="00EB0A3C">
          <w:rPr>
            <w:rStyle w:val="Hyperlink"/>
          </w:rPr>
          <w:t>www.fibl.org</w:t>
        </w:r>
      </w:hyperlink>
    </w:p>
    <w:p w:rsidR="00613117" w:rsidRPr="00B779F4" w:rsidRDefault="00613117" w:rsidP="00613117">
      <w:pPr>
        <w:pStyle w:val="FiBLmrannotationbulletpoint"/>
        <w:rPr>
          <w:lang w:val="es-ES"/>
        </w:rPr>
      </w:pPr>
      <w:r w:rsidRPr="00B779F4">
        <w:rPr>
          <w:lang w:val="es-ES"/>
        </w:rPr>
        <w:t xml:space="preserve">Video: </w:t>
      </w:r>
      <w:hyperlink r:id="rId22" w:history="1">
        <w:r w:rsidRPr="00B779F4">
          <w:rPr>
            <w:rStyle w:val="Hyperlink"/>
            <w:lang w:val="es-ES"/>
          </w:rPr>
          <w:t>www.youtube.com/watch?v=Zs-dCLDUbQ0</w:t>
        </w:r>
      </w:hyperlink>
    </w:p>
    <w:p w:rsidR="00466809" w:rsidRPr="00B779F4" w:rsidRDefault="00466809">
      <w:pPr>
        <w:rPr>
          <w:rFonts w:ascii="Gill Sans MT" w:hAnsi="Gill Sans MT"/>
          <w:b/>
          <w:sz w:val="34"/>
          <w:lang w:val="es-ES"/>
        </w:rPr>
      </w:pPr>
      <w:r w:rsidRPr="00B779F4">
        <w:rPr>
          <w:lang w:val="es-ES"/>
        </w:rPr>
        <w:br w:type="page"/>
      </w:r>
    </w:p>
    <w:p w:rsidR="00686D1E" w:rsidRPr="00C21CF4" w:rsidRDefault="00584129" w:rsidP="00EB6B1C">
      <w:pPr>
        <w:pStyle w:val="FiBLmrtitle"/>
      </w:pPr>
      <w:r w:rsidRPr="00C21CF4">
        <w:lastRenderedPageBreak/>
        <w:t xml:space="preserve">Biolandbau in Europa und </w:t>
      </w:r>
      <w:r w:rsidR="00AE0BFC">
        <w:t xml:space="preserve">in der </w:t>
      </w:r>
      <w:r w:rsidRPr="00C21CF4">
        <w:t>Europäische</w:t>
      </w:r>
      <w:r w:rsidR="00AE0BFC">
        <w:t>n</w:t>
      </w:r>
      <w:r w:rsidRPr="00C21CF4">
        <w:t xml:space="preserve"> Union: Kennzahlen </w:t>
      </w:r>
      <w:r w:rsidR="009B0C59" w:rsidRPr="00C21CF4">
        <w:t>201</w:t>
      </w:r>
      <w:r w:rsidR="00125125">
        <w:t>7</w:t>
      </w:r>
    </w:p>
    <w:tbl>
      <w:tblPr>
        <w:tblStyle w:val="HelleSchattierung-Akzent1"/>
        <w:tblW w:w="5000" w:type="pct"/>
        <w:tblLayout w:type="fixed"/>
        <w:tblLook w:val="04A0" w:firstRow="1" w:lastRow="0" w:firstColumn="1" w:lastColumn="0" w:noHBand="0" w:noVBand="1"/>
      </w:tblPr>
      <w:tblGrid>
        <w:gridCol w:w="2415"/>
        <w:gridCol w:w="1557"/>
        <w:gridCol w:w="1693"/>
        <w:gridCol w:w="3055"/>
      </w:tblGrid>
      <w:tr w:rsidR="00472118" w:rsidRPr="00C21CF4" w:rsidTr="00697BB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472118">
            <w:pPr>
              <w:rPr>
                <w:rFonts w:ascii="Gill Sans MT" w:hAnsi="Gill Sans MT"/>
                <w:bCs w:val="0"/>
                <w:sz w:val="16"/>
                <w:szCs w:val="16"/>
              </w:rPr>
            </w:pPr>
            <w:r w:rsidRPr="00C21CF4">
              <w:rPr>
                <w:rFonts w:ascii="Gill Sans MT" w:hAnsi="Gill Sans MT"/>
                <w:bCs w:val="0"/>
                <w:sz w:val="16"/>
                <w:szCs w:val="16"/>
              </w:rPr>
              <w:t>Indikator</w:t>
            </w:r>
          </w:p>
        </w:tc>
        <w:tc>
          <w:tcPr>
            <w:tcW w:w="893" w:type="pct"/>
            <w:vAlign w:val="center"/>
          </w:tcPr>
          <w:p w:rsidR="00584129" w:rsidRPr="00C21CF4" w:rsidRDefault="00584129" w:rsidP="00472118">
            <w:pPr>
              <w:jc w:val="right"/>
              <w:cnfStyle w:val="100000000000" w:firstRow="1" w:lastRow="0" w:firstColumn="0" w:lastColumn="0" w:oddVBand="0" w:evenVBand="0" w:oddHBand="0" w:evenHBand="0" w:firstRowFirstColumn="0" w:firstRowLastColumn="0" w:lastRowFirstColumn="0" w:lastRowLastColumn="0"/>
              <w:rPr>
                <w:rFonts w:ascii="Gill Sans MT" w:hAnsi="Gill Sans MT"/>
                <w:bCs w:val="0"/>
                <w:sz w:val="16"/>
                <w:szCs w:val="16"/>
              </w:rPr>
            </w:pPr>
            <w:r w:rsidRPr="00C21CF4">
              <w:rPr>
                <w:rFonts w:ascii="Gill Sans MT" w:hAnsi="Gill Sans MT"/>
                <w:bCs w:val="0"/>
                <w:sz w:val="16"/>
                <w:szCs w:val="16"/>
              </w:rPr>
              <w:t>Europa</w:t>
            </w:r>
          </w:p>
        </w:tc>
        <w:tc>
          <w:tcPr>
            <w:tcW w:w="971" w:type="pct"/>
            <w:vAlign w:val="center"/>
          </w:tcPr>
          <w:p w:rsidR="00584129" w:rsidRPr="00C21CF4" w:rsidRDefault="00584129" w:rsidP="00472118">
            <w:pPr>
              <w:jc w:val="right"/>
              <w:cnfStyle w:val="100000000000" w:firstRow="1" w:lastRow="0" w:firstColumn="0" w:lastColumn="0" w:oddVBand="0" w:evenVBand="0" w:oddHBand="0" w:evenHBand="0" w:firstRowFirstColumn="0" w:firstRowLastColumn="0" w:lastRowFirstColumn="0" w:lastRowLastColumn="0"/>
              <w:rPr>
                <w:rFonts w:ascii="Gill Sans MT" w:hAnsi="Gill Sans MT"/>
                <w:bCs w:val="0"/>
                <w:sz w:val="16"/>
                <w:szCs w:val="16"/>
              </w:rPr>
            </w:pPr>
            <w:r w:rsidRPr="00C21CF4">
              <w:rPr>
                <w:rFonts w:ascii="Gill Sans MT" w:hAnsi="Gill Sans MT"/>
                <w:bCs w:val="0"/>
                <w:sz w:val="16"/>
                <w:szCs w:val="16"/>
              </w:rPr>
              <w:t>Europäische Union</w:t>
            </w:r>
          </w:p>
        </w:tc>
        <w:tc>
          <w:tcPr>
            <w:tcW w:w="1753" w:type="pct"/>
            <w:vAlign w:val="center"/>
          </w:tcPr>
          <w:p w:rsidR="00584129" w:rsidRPr="00C21CF4" w:rsidRDefault="00584129" w:rsidP="00472118">
            <w:pPr>
              <w:cnfStyle w:val="100000000000" w:firstRow="1" w:lastRow="0" w:firstColumn="0" w:lastColumn="0" w:oddVBand="0" w:evenVBand="0" w:oddHBand="0" w:evenHBand="0" w:firstRowFirstColumn="0" w:firstRowLastColumn="0" w:lastRowFirstColumn="0" w:lastRowLastColumn="0"/>
              <w:rPr>
                <w:rFonts w:ascii="Gill Sans MT" w:hAnsi="Gill Sans MT"/>
                <w:bCs w:val="0"/>
                <w:sz w:val="16"/>
                <w:szCs w:val="16"/>
              </w:rPr>
            </w:pPr>
            <w:r w:rsidRPr="00C21CF4">
              <w:rPr>
                <w:rFonts w:ascii="Gill Sans MT" w:hAnsi="Gill Sans MT"/>
                <w:bCs w:val="0"/>
                <w:sz w:val="16"/>
                <w:szCs w:val="16"/>
              </w:rPr>
              <w:t>Top-3-Länder</w:t>
            </w:r>
          </w:p>
        </w:tc>
      </w:tr>
      <w:tr w:rsidR="00472118" w:rsidRPr="00C21CF4" w:rsidTr="00F1030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1030B">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Biolandwirtschaftsfläche in Hektar</w:t>
            </w:r>
          </w:p>
        </w:tc>
        <w:tc>
          <w:tcPr>
            <w:tcW w:w="893" w:type="pct"/>
            <w:vAlign w:val="center"/>
          </w:tcPr>
          <w:p w:rsidR="00584129" w:rsidRPr="00C21CF4" w:rsidRDefault="00584129" w:rsidP="00F1030B">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1</w:t>
            </w:r>
            <w:r w:rsidR="00125125">
              <w:rPr>
                <w:rFonts w:ascii="Gill Sans MT" w:hAnsi="Gill Sans MT"/>
                <w:sz w:val="16"/>
                <w:szCs w:val="16"/>
              </w:rPr>
              <w:t>4,6</w:t>
            </w:r>
            <w:r w:rsidRPr="00C21CF4">
              <w:rPr>
                <w:rFonts w:ascii="Gill Sans MT" w:hAnsi="Gill Sans MT"/>
                <w:sz w:val="16"/>
                <w:szCs w:val="16"/>
              </w:rPr>
              <w:t xml:space="preserve"> Millionen ha</w:t>
            </w:r>
          </w:p>
        </w:tc>
        <w:tc>
          <w:tcPr>
            <w:tcW w:w="971" w:type="pct"/>
            <w:vAlign w:val="center"/>
          </w:tcPr>
          <w:p w:rsidR="00584129" w:rsidRPr="00C21CF4" w:rsidRDefault="00584129" w:rsidP="00F1030B">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1</w:t>
            </w:r>
            <w:r w:rsidR="003F7D09" w:rsidRPr="00C21CF4">
              <w:rPr>
                <w:rFonts w:ascii="Gill Sans MT" w:hAnsi="Gill Sans MT"/>
                <w:sz w:val="16"/>
                <w:szCs w:val="16"/>
              </w:rPr>
              <w:t>2</w:t>
            </w:r>
            <w:r w:rsidRPr="00C21CF4">
              <w:rPr>
                <w:rFonts w:ascii="Gill Sans MT" w:hAnsi="Gill Sans MT"/>
                <w:sz w:val="16"/>
                <w:szCs w:val="16"/>
              </w:rPr>
              <w:t>,</w:t>
            </w:r>
            <w:r w:rsidR="00125125">
              <w:rPr>
                <w:rFonts w:ascii="Gill Sans MT" w:hAnsi="Gill Sans MT"/>
                <w:sz w:val="16"/>
                <w:szCs w:val="16"/>
              </w:rPr>
              <w:t>8</w:t>
            </w:r>
            <w:r w:rsidRPr="00C21CF4">
              <w:rPr>
                <w:rFonts w:ascii="Gill Sans MT" w:hAnsi="Gill Sans MT"/>
                <w:sz w:val="16"/>
                <w:szCs w:val="16"/>
              </w:rPr>
              <w:t xml:space="preserve"> Millionen ha</w:t>
            </w:r>
          </w:p>
        </w:tc>
        <w:tc>
          <w:tcPr>
            <w:tcW w:w="1753" w:type="pct"/>
            <w:vAlign w:val="center"/>
          </w:tcPr>
          <w:p w:rsidR="00584129" w:rsidRPr="00C21CF4" w:rsidRDefault="00584129" w:rsidP="00F1030B">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Spanien (</w:t>
            </w:r>
            <w:r w:rsidR="00125125">
              <w:rPr>
                <w:rFonts w:ascii="Gill Sans MT" w:hAnsi="Gill Sans MT"/>
                <w:sz w:val="16"/>
                <w:szCs w:val="16"/>
              </w:rPr>
              <w:t>2.1</w:t>
            </w:r>
            <w:r w:rsidRPr="00C21CF4">
              <w:rPr>
                <w:rFonts w:ascii="Gill Sans MT" w:hAnsi="Gill Sans MT"/>
                <w:sz w:val="16"/>
                <w:szCs w:val="16"/>
              </w:rPr>
              <w:t xml:space="preserve"> Millionen ha)</w:t>
            </w:r>
            <w:r w:rsidRPr="00C21CF4">
              <w:rPr>
                <w:rFonts w:ascii="Gill Sans MT" w:hAnsi="Gill Sans MT"/>
                <w:sz w:val="16"/>
                <w:szCs w:val="16"/>
              </w:rPr>
              <w:br/>
              <w:t>Italien (1,</w:t>
            </w:r>
            <w:r w:rsidR="00125125">
              <w:rPr>
                <w:rFonts w:ascii="Gill Sans MT" w:hAnsi="Gill Sans MT"/>
                <w:sz w:val="16"/>
                <w:szCs w:val="16"/>
              </w:rPr>
              <w:t>9</w:t>
            </w:r>
            <w:r w:rsidRPr="00C21CF4">
              <w:rPr>
                <w:rFonts w:ascii="Gill Sans MT" w:hAnsi="Gill Sans MT"/>
                <w:sz w:val="16"/>
                <w:szCs w:val="16"/>
              </w:rPr>
              <w:t xml:space="preserve"> Millionen ha)</w:t>
            </w:r>
            <w:r w:rsidRPr="00C21CF4">
              <w:rPr>
                <w:rFonts w:ascii="Gill Sans MT" w:hAnsi="Gill Sans MT"/>
                <w:sz w:val="16"/>
                <w:szCs w:val="16"/>
              </w:rPr>
              <w:br/>
              <w:t>Frankreich (1,</w:t>
            </w:r>
            <w:r w:rsidR="00125125">
              <w:rPr>
                <w:rFonts w:ascii="Gill Sans MT" w:hAnsi="Gill Sans MT"/>
                <w:sz w:val="16"/>
                <w:szCs w:val="16"/>
              </w:rPr>
              <w:t>7</w:t>
            </w:r>
            <w:r w:rsidRPr="00C21CF4">
              <w:rPr>
                <w:rFonts w:ascii="Gill Sans MT" w:hAnsi="Gill Sans MT"/>
                <w:sz w:val="16"/>
                <w:szCs w:val="16"/>
              </w:rPr>
              <w:t xml:space="preserve"> Millionen ha)</w:t>
            </w:r>
          </w:p>
        </w:tc>
      </w:tr>
      <w:tr w:rsidR="00472118" w:rsidRPr="00C21CF4" w:rsidTr="00F61C44">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Bioanteil an der Landwirtschaftsfläche</w:t>
            </w:r>
          </w:p>
        </w:tc>
        <w:tc>
          <w:tcPr>
            <w:tcW w:w="893" w:type="pct"/>
            <w:vAlign w:val="center"/>
          </w:tcPr>
          <w:p w:rsidR="00584129" w:rsidRPr="00C21CF4" w:rsidRDefault="00584129"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2,</w:t>
            </w:r>
            <w:r w:rsidR="00125125">
              <w:rPr>
                <w:rFonts w:ascii="Gill Sans MT" w:hAnsi="Gill Sans MT"/>
                <w:sz w:val="16"/>
                <w:szCs w:val="16"/>
              </w:rPr>
              <w:t>9</w:t>
            </w:r>
            <w:r w:rsidRPr="00C21CF4">
              <w:rPr>
                <w:rFonts w:ascii="Gill Sans MT" w:hAnsi="Gill Sans MT"/>
                <w:sz w:val="16"/>
                <w:szCs w:val="16"/>
              </w:rPr>
              <w:t xml:space="preserve"> %</w:t>
            </w:r>
          </w:p>
        </w:tc>
        <w:tc>
          <w:tcPr>
            <w:tcW w:w="971" w:type="pct"/>
            <w:vAlign w:val="center"/>
          </w:tcPr>
          <w:p w:rsidR="00584129" w:rsidRPr="00C21CF4" w:rsidRDefault="00125125"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7,2</w:t>
            </w:r>
            <w:r w:rsidR="00584129" w:rsidRPr="00C21CF4">
              <w:rPr>
                <w:rFonts w:ascii="Gill Sans MT" w:hAnsi="Gill Sans MT"/>
                <w:sz w:val="16"/>
                <w:szCs w:val="16"/>
              </w:rPr>
              <w:t xml:space="preserve"> %</w:t>
            </w:r>
          </w:p>
        </w:tc>
        <w:tc>
          <w:tcPr>
            <w:tcW w:w="1753" w:type="pct"/>
            <w:vAlign w:val="center"/>
          </w:tcPr>
          <w:p w:rsidR="00584129" w:rsidRPr="00C21CF4" w:rsidRDefault="00584129" w:rsidP="00F61C4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Liechtenstein (3</w:t>
            </w:r>
            <w:r w:rsidR="003F7D09" w:rsidRPr="00C21CF4">
              <w:rPr>
                <w:rFonts w:ascii="Gill Sans MT" w:hAnsi="Gill Sans MT"/>
                <w:sz w:val="16"/>
                <w:szCs w:val="16"/>
              </w:rPr>
              <w:t>7</w:t>
            </w:r>
            <w:r w:rsidRPr="00C21CF4">
              <w:rPr>
                <w:rFonts w:ascii="Gill Sans MT" w:hAnsi="Gill Sans MT"/>
                <w:sz w:val="16"/>
                <w:szCs w:val="16"/>
              </w:rPr>
              <w:t>,</w:t>
            </w:r>
            <w:r w:rsidR="00125125">
              <w:rPr>
                <w:rFonts w:ascii="Gill Sans MT" w:hAnsi="Gill Sans MT"/>
                <w:sz w:val="16"/>
                <w:szCs w:val="16"/>
              </w:rPr>
              <w:t>9 %)</w:t>
            </w:r>
            <w:r w:rsidR="00125125">
              <w:rPr>
                <w:rFonts w:ascii="Gill Sans MT" w:hAnsi="Gill Sans MT"/>
                <w:sz w:val="16"/>
                <w:szCs w:val="16"/>
              </w:rPr>
              <w:br/>
              <w:t>Österreich (24</w:t>
            </w:r>
            <w:r w:rsidRPr="00C21CF4">
              <w:rPr>
                <w:rFonts w:ascii="Gill Sans MT" w:hAnsi="Gill Sans MT"/>
                <w:sz w:val="16"/>
                <w:szCs w:val="16"/>
              </w:rPr>
              <w:t>,</w:t>
            </w:r>
            <w:r w:rsidR="00125125">
              <w:rPr>
                <w:rFonts w:ascii="Gill Sans MT" w:hAnsi="Gill Sans MT"/>
                <w:sz w:val="16"/>
                <w:szCs w:val="16"/>
              </w:rPr>
              <w:t>0</w:t>
            </w:r>
            <w:r w:rsidRPr="00C21CF4">
              <w:rPr>
                <w:rFonts w:ascii="Gill Sans MT" w:hAnsi="Gill Sans MT"/>
                <w:sz w:val="16"/>
                <w:szCs w:val="16"/>
              </w:rPr>
              <w:t xml:space="preserve"> %)</w:t>
            </w:r>
          </w:p>
          <w:p w:rsidR="00584129" w:rsidRPr="00C21CF4" w:rsidRDefault="002142F8" w:rsidP="00F61C4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Estland</w:t>
            </w:r>
            <w:r w:rsidR="00584129" w:rsidRPr="00C21CF4">
              <w:rPr>
                <w:rFonts w:ascii="Gill Sans MT" w:hAnsi="Gill Sans MT"/>
                <w:sz w:val="16"/>
                <w:szCs w:val="16"/>
              </w:rPr>
              <w:t xml:space="preserve"> (1</w:t>
            </w:r>
            <w:r w:rsidRPr="00C21CF4">
              <w:rPr>
                <w:rFonts w:ascii="Gill Sans MT" w:hAnsi="Gill Sans MT"/>
                <w:sz w:val="16"/>
                <w:szCs w:val="16"/>
              </w:rPr>
              <w:t>8</w:t>
            </w:r>
            <w:r w:rsidR="00584129" w:rsidRPr="00C21CF4">
              <w:rPr>
                <w:rFonts w:ascii="Gill Sans MT" w:hAnsi="Gill Sans MT"/>
                <w:sz w:val="16"/>
                <w:szCs w:val="16"/>
              </w:rPr>
              <w:t>,9 %)</w:t>
            </w:r>
          </w:p>
        </w:tc>
      </w:tr>
      <w:tr w:rsidR="00472118" w:rsidRPr="00C21CF4" w:rsidTr="00F1030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125125">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Zunahme der Biolandwirtschaftsfläche 201</w:t>
            </w:r>
            <w:r w:rsidR="00125125">
              <w:rPr>
                <w:rFonts w:ascii="Gill Sans MT" w:hAnsi="Gill Sans MT"/>
                <w:b w:val="0"/>
                <w:bCs w:val="0"/>
                <w:sz w:val="16"/>
                <w:szCs w:val="16"/>
              </w:rPr>
              <w:t>6</w:t>
            </w:r>
            <w:r w:rsidRPr="00C21CF4">
              <w:rPr>
                <w:rFonts w:ascii="Gill Sans MT" w:hAnsi="Gill Sans MT" w:cs="Arial"/>
                <w:b w:val="0"/>
                <w:bCs w:val="0"/>
                <w:sz w:val="16"/>
                <w:szCs w:val="16"/>
              </w:rPr>
              <w:t>–</w:t>
            </w:r>
            <w:r w:rsidR="00125125">
              <w:rPr>
                <w:rFonts w:ascii="Gill Sans MT" w:hAnsi="Gill Sans MT"/>
                <w:b w:val="0"/>
                <w:bCs w:val="0"/>
                <w:sz w:val="16"/>
                <w:szCs w:val="16"/>
              </w:rPr>
              <w:t>2017</w:t>
            </w:r>
            <w:r w:rsidR="00B8078A" w:rsidRPr="00C21CF4">
              <w:rPr>
                <w:rFonts w:ascii="Gill Sans MT" w:hAnsi="Gill Sans MT"/>
                <w:b w:val="0"/>
                <w:bCs w:val="0"/>
                <w:sz w:val="16"/>
                <w:szCs w:val="16"/>
              </w:rPr>
              <w:t xml:space="preserve"> </w:t>
            </w:r>
            <w:r w:rsidRPr="00C21CF4">
              <w:rPr>
                <w:rFonts w:ascii="Gill Sans MT" w:hAnsi="Gill Sans MT"/>
                <w:b w:val="0"/>
                <w:bCs w:val="0"/>
                <w:sz w:val="16"/>
                <w:szCs w:val="16"/>
              </w:rPr>
              <w:t xml:space="preserve"> in Hektar</w:t>
            </w:r>
          </w:p>
        </w:tc>
        <w:tc>
          <w:tcPr>
            <w:tcW w:w="893" w:type="pct"/>
            <w:vAlign w:val="center"/>
          </w:tcPr>
          <w:p w:rsidR="00584129" w:rsidRPr="00C21CF4" w:rsidRDefault="00125125"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1.0 Millionen</w:t>
            </w:r>
            <w:r w:rsidR="00584129" w:rsidRPr="00C21CF4">
              <w:rPr>
                <w:rFonts w:ascii="Gill Sans MT" w:hAnsi="Gill Sans MT"/>
                <w:sz w:val="16"/>
                <w:szCs w:val="16"/>
              </w:rPr>
              <w:t xml:space="preserve"> ha</w:t>
            </w:r>
          </w:p>
        </w:tc>
        <w:tc>
          <w:tcPr>
            <w:tcW w:w="971" w:type="pct"/>
            <w:vAlign w:val="center"/>
          </w:tcPr>
          <w:p w:rsidR="00584129" w:rsidRPr="00C21CF4" w:rsidRDefault="00125125"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0.8 Millionen</w:t>
            </w:r>
            <w:r w:rsidR="00584129" w:rsidRPr="00C21CF4">
              <w:rPr>
                <w:rFonts w:ascii="Gill Sans MT" w:hAnsi="Gill Sans MT"/>
                <w:sz w:val="16"/>
                <w:szCs w:val="16"/>
              </w:rPr>
              <w:t xml:space="preserve"> ha</w:t>
            </w:r>
          </w:p>
        </w:tc>
        <w:tc>
          <w:tcPr>
            <w:tcW w:w="1753" w:type="pct"/>
            <w:vAlign w:val="center"/>
          </w:tcPr>
          <w:p w:rsidR="00584129" w:rsidRPr="00C21CF4" w:rsidRDefault="00125125" w:rsidP="00125125">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Russland</w:t>
            </w:r>
            <w:r w:rsidR="002142F8" w:rsidRPr="00C21CF4">
              <w:rPr>
                <w:rFonts w:ascii="Gill Sans MT" w:hAnsi="Gill Sans MT"/>
                <w:sz w:val="16"/>
                <w:szCs w:val="16"/>
              </w:rPr>
              <w:t xml:space="preserve"> </w:t>
            </w:r>
            <w:r w:rsidR="00584129" w:rsidRPr="00C21CF4">
              <w:rPr>
                <w:rFonts w:ascii="Gill Sans MT" w:hAnsi="Gill Sans MT"/>
                <w:sz w:val="16"/>
                <w:szCs w:val="16"/>
              </w:rPr>
              <w:t>(+</w:t>
            </w:r>
            <w:r>
              <w:rPr>
                <w:rFonts w:ascii="Gill Sans MT" w:hAnsi="Gill Sans MT"/>
                <w:sz w:val="16"/>
                <w:szCs w:val="16"/>
              </w:rPr>
              <w:t>341‘778</w:t>
            </w:r>
            <w:r w:rsidR="00584129" w:rsidRPr="00C21CF4">
              <w:rPr>
                <w:rFonts w:ascii="Gill Sans MT" w:hAnsi="Gill Sans MT"/>
                <w:sz w:val="16"/>
                <w:szCs w:val="16"/>
              </w:rPr>
              <w:t xml:space="preserve"> ha)</w:t>
            </w:r>
            <w:r w:rsidR="00584129" w:rsidRPr="00C21CF4">
              <w:rPr>
                <w:rFonts w:ascii="Gill Sans MT" w:hAnsi="Gill Sans MT"/>
                <w:sz w:val="16"/>
                <w:szCs w:val="16"/>
              </w:rPr>
              <w:br/>
              <w:t>Frankreich (+</w:t>
            </w:r>
            <w:r>
              <w:rPr>
                <w:rFonts w:ascii="Gill Sans MT" w:hAnsi="Gill Sans MT"/>
                <w:sz w:val="16"/>
                <w:szCs w:val="16"/>
              </w:rPr>
              <w:t>206’373</w:t>
            </w:r>
            <w:r w:rsidR="002142F8" w:rsidRPr="00C21CF4">
              <w:rPr>
                <w:rFonts w:ascii="Gill Sans MT" w:hAnsi="Gill Sans MT"/>
                <w:sz w:val="16"/>
                <w:szCs w:val="16"/>
              </w:rPr>
              <w:t xml:space="preserve"> </w:t>
            </w:r>
            <w:r w:rsidR="00584129" w:rsidRPr="00C21CF4">
              <w:rPr>
                <w:rFonts w:ascii="Gill Sans MT" w:hAnsi="Gill Sans MT"/>
                <w:sz w:val="16"/>
                <w:szCs w:val="16"/>
              </w:rPr>
              <w:t>ha)</w:t>
            </w:r>
            <w:r w:rsidR="00584129" w:rsidRPr="00C21CF4">
              <w:rPr>
                <w:rFonts w:ascii="Gill Sans MT" w:hAnsi="Gill Sans MT"/>
                <w:sz w:val="16"/>
                <w:szCs w:val="16"/>
              </w:rPr>
              <w:br/>
            </w:r>
            <w:r w:rsidR="002142F8" w:rsidRPr="00C21CF4">
              <w:rPr>
                <w:rFonts w:ascii="Gill Sans MT" w:hAnsi="Gill Sans MT"/>
                <w:sz w:val="16"/>
                <w:szCs w:val="16"/>
              </w:rPr>
              <w:t xml:space="preserve">Deutschland </w:t>
            </w:r>
            <w:r w:rsidR="00584129" w:rsidRPr="00C21CF4">
              <w:rPr>
                <w:rFonts w:ascii="Gill Sans MT" w:hAnsi="Gill Sans MT"/>
                <w:sz w:val="16"/>
                <w:szCs w:val="16"/>
              </w:rPr>
              <w:t>(+</w:t>
            </w:r>
            <w:r>
              <w:rPr>
                <w:rFonts w:ascii="Gill Sans MT" w:hAnsi="Gill Sans MT"/>
                <w:sz w:val="16"/>
                <w:szCs w:val="16"/>
              </w:rPr>
              <w:t>1</w:t>
            </w:r>
            <w:r w:rsidR="002142F8" w:rsidRPr="00C21CF4">
              <w:rPr>
                <w:rFonts w:ascii="Gill Sans MT" w:hAnsi="Gill Sans MT"/>
                <w:sz w:val="16"/>
                <w:szCs w:val="16"/>
              </w:rPr>
              <w:t>2</w:t>
            </w:r>
            <w:r>
              <w:rPr>
                <w:rFonts w:ascii="Gill Sans MT" w:hAnsi="Gill Sans MT"/>
                <w:sz w:val="16"/>
                <w:szCs w:val="16"/>
              </w:rPr>
              <w:t>1’836</w:t>
            </w:r>
            <w:r w:rsidR="002142F8" w:rsidRPr="00C21CF4">
              <w:rPr>
                <w:rFonts w:ascii="Gill Sans MT" w:hAnsi="Gill Sans MT"/>
                <w:sz w:val="16"/>
                <w:szCs w:val="16"/>
              </w:rPr>
              <w:t xml:space="preserve"> </w:t>
            </w:r>
            <w:r w:rsidR="00584129" w:rsidRPr="00C21CF4">
              <w:rPr>
                <w:rFonts w:ascii="Gill Sans MT" w:hAnsi="Gill Sans MT"/>
                <w:sz w:val="16"/>
                <w:szCs w:val="16"/>
              </w:rPr>
              <w:t>ha)</w:t>
            </w:r>
          </w:p>
        </w:tc>
      </w:tr>
      <w:tr w:rsidR="00472118" w:rsidRPr="00C21CF4" w:rsidTr="00F1030B">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Zunahme der Biolandwirtschaftsfläche 201</w:t>
            </w:r>
            <w:r w:rsidR="00B8078A" w:rsidRPr="00C21CF4">
              <w:rPr>
                <w:rFonts w:ascii="Gill Sans MT" w:hAnsi="Gill Sans MT"/>
                <w:b w:val="0"/>
                <w:bCs w:val="0"/>
                <w:sz w:val="16"/>
                <w:szCs w:val="16"/>
              </w:rPr>
              <w:t>5</w:t>
            </w:r>
            <w:r w:rsidRPr="00C21CF4">
              <w:rPr>
                <w:rFonts w:ascii="Gill Sans MT" w:hAnsi="Gill Sans MT" w:cs="Arial"/>
                <w:b w:val="0"/>
                <w:bCs w:val="0"/>
                <w:sz w:val="16"/>
                <w:szCs w:val="16"/>
              </w:rPr>
              <w:t>–</w:t>
            </w:r>
            <w:r w:rsidRPr="00C21CF4">
              <w:rPr>
                <w:rFonts w:ascii="Gill Sans MT" w:hAnsi="Gill Sans MT"/>
                <w:b w:val="0"/>
                <w:bCs w:val="0"/>
                <w:sz w:val="16"/>
                <w:szCs w:val="16"/>
              </w:rPr>
              <w:t>201</w:t>
            </w:r>
            <w:r w:rsidR="00B8078A" w:rsidRPr="00C21CF4">
              <w:rPr>
                <w:rFonts w:ascii="Gill Sans MT" w:hAnsi="Gill Sans MT"/>
                <w:b w:val="0"/>
                <w:bCs w:val="0"/>
                <w:sz w:val="16"/>
                <w:szCs w:val="16"/>
              </w:rPr>
              <w:t>6</w:t>
            </w:r>
            <w:r w:rsidRPr="00C21CF4">
              <w:rPr>
                <w:rFonts w:ascii="Gill Sans MT" w:hAnsi="Gill Sans MT"/>
                <w:b w:val="0"/>
                <w:bCs w:val="0"/>
                <w:sz w:val="16"/>
                <w:szCs w:val="16"/>
              </w:rPr>
              <w:t xml:space="preserve"> in Prozent</w:t>
            </w:r>
          </w:p>
        </w:tc>
        <w:tc>
          <w:tcPr>
            <w:tcW w:w="893" w:type="pct"/>
            <w:vAlign w:val="center"/>
          </w:tcPr>
          <w:p w:rsidR="00584129" w:rsidRPr="00C21CF4" w:rsidRDefault="00125125"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7,6</w:t>
            </w:r>
            <w:r w:rsidR="00584129" w:rsidRPr="00C21CF4">
              <w:rPr>
                <w:rFonts w:ascii="Gill Sans MT" w:hAnsi="Gill Sans MT"/>
                <w:sz w:val="16"/>
                <w:szCs w:val="16"/>
              </w:rPr>
              <w:t xml:space="preserve"> %</w:t>
            </w:r>
          </w:p>
        </w:tc>
        <w:tc>
          <w:tcPr>
            <w:tcW w:w="971" w:type="pct"/>
            <w:vAlign w:val="center"/>
          </w:tcPr>
          <w:p w:rsidR="00584129" w:rsidRPr="00C21CF4" w:rsidRDefault="00125125"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6,4</w:t>
            </w:r>
            <w:r w:rsidR="003F7D09" w:rsidRPr="00C21CF4">
              <w:rPr>
                <w:rFonts w:ascii="Gill Sans MT" w:hAnsi="Gill Sans MT"/>
                <w:sz w:val="16"/>
                <w:szCs w:val="16"/>
              </w:rPr>
              <w:t xml:space="preserve"> %</w:t>
            </w:r>
            <w:r w:rsidR="00584129" w:rsidRPr="00C21CF4">
              <w:rPr>
                <w:rFonts w:ascii="Gill Sans MT" w:hAnsi="Gill Sans MT"/>
                <w:sz w:val="16"/>
                <w:szCs w:val="16"/>
              </w:rPr>
              <w:t xml:space="preserve"> </w:t>
            </w:r>
          </w:p>
        </w:tc>
        <w:tc>
          <w:tcPr>
            <w:tcW w:w="1753" w:type="pct"/>
            <w:vAlign w:val="center"/>
          </w:tcPr>
          <w:p w:rsidR="00584129" w:rsidRPr="00C21CF4" w:rsidRDefault="00125125" w:rsidP="00FA25B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Russland</w:t>
            </w:r>
            <w:r w:rsidR="00584129" w:rsidRPr="00C21CF4">
              <w:rPr>
                <w:rFonts w:ascii="Gill Sans MT" w:hAnsi="Gill Sans MT"/>
                <w:sz w:val="16"/>
                <w:szCs w:val="16"/>
              </w:rPr>
              <w:t xml:space="preserve"> (+</w:t>
            </w:r>
            <w:r>
              <w:rPr>
                <w:rFonts w:ascii="Gill Sans MT" w:hAnsi="Gill Sans MT"/>
                <w:sz w:val="16"/>
                <w:szCs w:val="16"/>
              </w:rPr>
              <w:t>108</w:t>
            </w:r>
            <w:r w:rsidR="00584129" w:rsidRPr="00C21CF4">
              <w:rPr>
                <w:rFonts w:ascii="Gill Sans MT" w:hAnsi="Gill Sans MT"/>
                <w:sz w:val="16"/>
                <w:szCs w:val="16"/>
              </w:rPr>
              <w:t xml:space="preserve"> %)</w:t>
            </w:r>
            <w:r w:rsidR="00584129" w:rsidRPr="00C21CF4">
              <w:rPr>
                <w:rFonts w:ascii="Gill Sans MT" w:hAnsi="Gill Sans MT"/>
                <w:sz w:val="16"/>
                <w:szCs w:val="16"/>
              </w:rPr>
              <w:br/>
            </w:r>
            <w:r>
              <w:rPr>
                <w:rFonts w:ascii="Gill Sans MT" w:hAnsi="Gill Sans MT"/>
                <w:sz w:val="16"/>
                <w:szCs w:val="16"/>
              </w:rPr>
              <w:t>Malta</w:t>
            </w:r>
            <w:r w:rsidR="002142F8" w:rsidRPr="00C21CF4">
              <w:rPr>
                <w:rFonts w:ascii="Gill Sans MT" w:hAnsi="Gill Sans MT"/>
                <w:sz w:val="16"/>
                <w:szCs w:val="16"/>
              </w:rPr>
              <w:t xml:space="preserve"> </w:t>
            </w:r>
            <w:r w:rsidR="00584129" w:rsidRPr="00C21CF4">
              <w:rPr>
                <w:rFonts w:ascii="Gill Sans MT" w:hAnsi="Gill Sans MT"/>
                <w:sz w:val="16"/>
                <w:szCs w:val="16"/>
              </w:rPr>
              <w:t>(+</w:t>
            </w:r>
            <w:r>
              <w:rPr>
                <w:rFonts w:ascii="Gill Sans MT" w:hAnsi="Gill Sans MT"/>
                <w:sz w:val="16"/>
                <w:szCs w:val="16"/>
              </w:rPr>
              <w:t>80</w:t>
            </w:r>
            <w:r w:rsidR="00584129" w:rsidRPr="00C21CF4">
              <w:rPr>
                <w:rFonts w:ascii="Gill Sans MT" w:hAnsi="Gill Sans MT"/>
                <w:sz w:val="16"/>
                <w:szCs w:val="16"/>
              </w:rPr>
              <w:t xml:space="preserve"> %)</w:t>
            </w:r>
            <w:r w:rsidR="00584129" w:rsidRPr="00C21CF4">
              <w:rPr>
                <w:rFonts w:ascii="Gill Sans MT" w:hAnsi="Gill Sans MT"/>
                <w:sz w:val="16"/>
                <w:szCs w:val="16"/>
              </w:rPr>
              <w:br/>
            </w:r>
            <w:r>
              <w:rPr>
                <w:rFonts w:ascii="Gill Sans MT" w:hAnsi="Gill Sans MT"/>
                <w:sz w:val="16"/>
                <w:szCs w:val="16"/>
              </w:rPr>
              <w:t>Bosnien &amp; Herzego</w:t>
            </w:r>
            <w:r w:rsidR="00FA25B6">
              <w:rPr>
                <w:rFonts w:ascii="Gill Sans MT" w:hAnsi="Gill Sans MT"/>
                <w:sz w:val="16"/>
                <w:szCs w:val="16"/>
              </w:rPr>
              <w:t>w</w:t>
            </w:r>
            <w:r>
              <w:rPr>
                <w:rFonts w:ascii="Gill Sans MT" w:hAnsi="Gill Sans MT"/>
                <w:sz w:val="16"/>
                <w:szCs w:val="16"/>
              </w:rPr>
              <w:t xml:space="preserve">ina </w:t>
            </w:r>
            <w:r w:rsidR="00584129" w:rsidRPr="00C21CF4">
              <w:rPr>
                <w:rFonts w:ascii="Gill Sans MT" w:hAnsi="Gill Sans MT"/>
                <w:sz w:val="16"/>
                <w:szCs w:val="16"/>
              </w:rPr>
              <w:t>(+</w:t>
            </w:r>
            <w:r>
              <w:rPr>
                <w:rFonts w:ascii="Gill Sans MT" w:hAnsi="Gill Sans MT"/>
                <w:sz w:val="16"/>
                <w:szCs w:val="16"/>
              </w:rPr>
              <w:t>28</w:t>
            </w:r>
            <w:r w:rsidR="00584129" w:rsidRPr="00C21CF4">
              <w:rPr>
                <w:rFonts w:ascii="Gill Sans MT" w:hAnsi="Gill Sans MT"/>
                <w:sz w:val="16"/>
                <w:szCs w:val="16"/>
              </w:rPr>
              <w:t xml:space="preserve"> %)</w:t>
            </w:r>
          </w:p>
        </w:tc>
      </w:tr>
      <w:tr w:rsidR="00472118" w:rsidRPr="00C21CF4" w:rsidTr="00F61C4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Wildsammlungsfläche</w:t>
            </w:r>
            <w:r w:rsidR="00125125">
              <w:rPr>
                <w:rFonts w:ascii="Gill Sans MT" w:hAnsi="Gill Sans MT"/>
                <w:b w:val="0"/>
                <w:bCs w:val="0"/>
                <w:sz w:val="16"/>
                <w:szCs w:val="16"/>
              </w:rPr>
              <w:t xml:space="preserve"> in Hektar</w:t>
            </w:r>
          </w:p>
        </w:tc>
        <w:tc>
          <w:tcPr>
            <w:tcW w:w="893" w:type="pct"/>
            <w:vAlign w:val="center"/>
          </w:tcPr>
          <w:p w:rsidR="00584129" w:rsidRPr="00C21CF4" w:rsidRDefault="00584129"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1</w:t>
            </w:r>
            <w:r w:rsidR="00125125">
              <w:rPr>
                <w:rFonts w:ascii="Gill Sans MT" w:hAnsi="Gill Sans MT"/>
                <w:sz w:val="16"/>
                <w:szCs w:val="16"/>
              </w:rPr>
              <w:t>8,0</w:t>
            </w:r>
            <w:r w:rsidRPr="00C21CF4">
              <w:rPr>
                <w:rFonts w:ascii="Gill Sans MT" w:hAnsi="Gill Sans MT"/>
                <w:sz w:val="16"/>
                <w:szCs w:val="16"/>
              </w:rPr>
              <w:t xml:space="preserve"> Millionen ha</w:t>
            </w:r>
          </w:p>
        </w:tc>
        <w:tc>
          <w:tcPr>
            <w:tcW w:w="971" w:type="pct"/>
            <w:vAlign w:val="center"/>
          </w:tcPr>
          <w:p w:rsidR="00584129" w:rsidRPr="00C21CF4" w:rsidRDefault="00584129"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1</w:t>
            </w:r>
            <w:r w:rsidR="00595DB8" w:rsidRPr="00C21CF4">
              <w:rPr>
                <w:rFonts w:ascii="Gill Sans MT" w:hAnsi="Gill Sans MT"/>
                <w:sz w:val="16"/>
                <w:szCs w:val="16"/>
              </w:rPr>
              <w:t>4</w:t>
            </w:r>
            <w:r w:rsidRPr="00C21CF4">
              <w:rPr>
                <w:rFonts w:ascii="Gill Sans MT" w:hAnsi="Gill Sans MT"/>
                <w:sz w:val="16"/>
                <w:szCs w:val="16"/>
              </w:rPr>
              <w:t>,</w:t>
            </w:r>
            <w:r w:rsidR="00125125">
              <w:rPr>
                <w:rFonts w:ascii="Gill Sans MT" w:hAnsi="Gill Sans MT"/>
                <w:sz w:val="16"/>
                <w:szCs w:val="16"/>
              </w:rPr>
              <w:t>7</w:t>
            </w:r>
            <w:r w:rsidRPr="00C21CF4">
              <w:rPr>
                <w:rFonts w:ascii="Gill Sans MT" w:hAnsi="Gill Sans MT"/>
                <w:sz w:val="16"/>
                <w:szCs w:val="16"/>
              </w:rPr>
              <w:t xml:space="preserve"> Millionen ha</w:t>
            </w:r>
          </w:p>
        </w:tc>
        <w:tc>
          <w:tcPr>
            <w:tcW w:w="1753" w:type="pct"/>
            <w:vAlign w:val="center"/>
          </w:tcPr>
          <w:p w:rsidR="00584129" w:rsidRPr="00C21CF4" w:rsidRDefault="00584129" w:rsidP="00125125">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Finnland (1</w:t>
            </w:r>
            <w:r w:rsidR="00595DB8" w:rsidRPr="00C21CF4">
              <w:rPr>
                <w:rFonts w:ascii="Gill Sans MT" w:hAnsi="Gill Sans MT"/>
                <w:sz w:val="16"/>
                <w:szCs w:val="16"/>
              </w:rPr>
              <w:t>1,6</w:t>
            </w:r>
            <w:r w:rsidRPr="00C21CF4">
              <w:rPr>
                <w:rFonts w:ascii="Gill Sans MT" w:hAnsi="Gill Sans MT"/>
                <w:sz w:val="16"/>
                <w:szCs w:val="16"/>
              </w:rPr>
              <w:t xml:space="preserve"> Millionen ha)</w:t>
            </w:r>
            <w:r w:rsidRPr="00C21CF4">
              <w:rPr>
                <w:rFonts w:ascii="Gill Sans MT" w:hAnsi="Gill Sans MT"/>
                <w:sz w:val="16"/>
                <w:szCs w:val="16"/>
              </w:rPr>
              <w:br/>
              <w:t>Rumänien (1,8 Millionen ha; 2014)</w:t>
            </w:r>
            <w:r w:rsidRPr="00C21CF4">
              <w:rPr>
                <w:rFonts w:ascii="Gill Sans MT" w:hAnsi="Gill Sans MT"/>
                <w:sz w:val="16"/>
                <w:szCs w:val="16"/>
              </w:rPr>
              <w:br/>
            </w:r>
            <w:r w:rsidR="00125125">
              <w:rPr>
                <w:rFonts w:ascii="Gill Sans MT" w:hAnsi="Gill Sans MT"/>
                <w:sz w:val="16"/>
                <w:szCs w:val="16"/>
              </w:rPr>
              <w:t>Mazedonien, EJR (1,2</w:t>
            </w:r>
            <w:r w:rsidRPr="00C21CF4">
              <w:rPr>
                <w:rFonts w:ascii="Gill Sans MT" w:hAnsi="Gill Sans MT"/>
                <w:sz w:val="16"/>
                <w:szCs w:val="16"/>
              </w:rPr>
              <w:t xml:space="preserve"> Millionen ha)</w:t>
            </w:r>
          </w:p>
        </w:tc>
      </w:tr>
      <w:tr w:rsidR="00472118" w:rsidRPr="00C21CF4" w:rsidTr="00F61C44">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Produzenten</w:t>
            </w:r>
          </w:p>
        </w:tc>
        <w:tc>
          <w:tcPr>
            <w:tcW w:w="893" w:type="pct"/>
            <w:vAlign w:val="center"/>
          </w:tcPr>
          <w:p w:rsidR="00584129" w:rsidRPr="00C21CF4" w:rsidRDefault="00125125"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397‘509</w:t>
            </w:r>
          </w:p>
        </w:tc>
        <w:tc>
          <w:tcPr>
            <w:tcW w:w="971" w:type="pct"/>
            <w:vAlign w:val="center"/>
          </w:tcPr>
          <w:p w:rsidR="00584129" w:rsidRPr="00C21CF4" w:rsidRDefault="00125125"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305‘394</w:t>
            </w:r>
          </w:p>
        </w:tc>
        <w:tc>
          <w:tcPr>
            <w:tcW w:w="1753" w:type="pct"/>
            <w:vAlign w:val="center"/>
          </w:tcPr>
          <w:p w:rsidR="00584129" w:rsidRPr="00C21CF4" w:rsidRDefault="00584129" w:rsidP="00F61C4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 xml:space="preserve">Türkei </w:t>
            </w:r>
            <w:r w:rsidR="00125125">
              <w:rPr>
                <w:rFonts w:ascii="Gill Sans MT" w:hAnsi="Gill Sans MT"/>
                <w:sz w:val="16"/>
                <w:szCs w:val="16"/>
              </w:rPr>
              <w:t>(75‘067</w:t>
            </w:r>
            <w:r w:rsidR="00595DB8" w:rsidRPr="00C21CF4">
              <w:rPr>
                <w:rFonts w:ascii="Gill Sans MT" w:hAnsi="Gill Sans MT"/>
                <w:sz w:val="16"/>
                <w:szCs w:val="16"/>
              </w:rPr>
              <w:t>)</w:t>
            </w:r>
            <w:r w:rsidRPr="00C21CF4">
              <w:rPr>
                <w:rFonts w:ascii="Gill Sans MT" w:hAnsi="Gill Sans MT"/>
                <w:sz w:val="16"/>
                <w:szCs w:val="16"/>
              </w:rPr>
              <w:br/>
              <w:t xml:space="preserve">Italien </w:t>
            </w:r>
            <w:r w:rsidR="00125125">
              <w:rPr>
                <w:rFonts w:ascii="Gill Sans MT" w:hAnsi="Gill Sans MT"/>
                <w:sz w:val="16"/>
                <w:szCs w:val="16"/>
              </w:rPr>
              <w:t>(66‘773</w:t>
            </w:r>
            <w:r w:rsidR="00595DB8" w:rsidRPr="00C21CF4">
              <w:rPr>
                <w:rFonts w:ascii="Gill Sans MT" w:hAnsi="Gill Sans MT"/>
                <w:sz w:val="16"/>
                <w:szCs w:val="16"/>
              </w:rPr>
              <w:t>)</w:t>
            </w:r>
            <w:r w:rsidRPr="00C21CF4">
              <w:rPr>
                <w:rFonts w:ascii="Gill Sans MT" w:hAnsi="Gill Sans MT"/>
                <w:sz w:val="16"/>
                <w:szCs w:val="16"/>
              </w:rPr>
              <w:br/>
              <w:t xml:space="preserve">Spanien </w:t>
            </w:r>
            <w:r w:rsidR="00125125">
              <w:rPr>
                <w:rFonts w:ascii="Gill Sans MT" w:hAnsi="Gill Sans MT"/>
                <w:sz w:val="16"/>
                <w:szCs w:val="16"/>
              </w:rPr>
              <w:t>(37‘712</w:t>
            </w:r>
            <w:r w:rsidR="00595DB8" w:rsidRPr="00C21CF4">
              <w:rPr>
                <w:rFonts w:ascii="Gill Sans MT" w:hAnsi="Gill Sans MT"/>
                <w:sz w:val="16"/>
                <w:szCs w:val="16"/>
              </w:rPr>
              <w:t>)</w:t>
            </w:r>
          </w:p>
        </w:tc>
      </w:tr>
      <w:tr w:rsidR="00472118" w:rsidRPr="00C21CF4" w:rsidTr="00F61C4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FA25B6" w:rsidRDefault="00584129" w:rsidP="00F61C44">
            <w:pPr>
              <w:spacing w:beforeLines="20" w:before="48" w:afterLines="20" w:after="48"/>
              <w:rPr>
                <w:rFonts w:ascii="Gill Sans MT" w:hAnsi="Gill Sans MT"/>
                <w:b w:val="0"/>
                <w:bCs w:val="0"/>
                <w:sz w:val="16"/>
                <w:szCs w:val="16"/>
              </w:rPr>
            </w:pPr>
            <w:r w:rsidRPr="00FA25B6">
              <w:rPr>
                <w:rFonts w:ascii="Gill Sans MT" w:hAnsi="Gill Sans MT"/>
                <w:b w:val="0"/>
                <w:bCs w:val="0"/>
                <w:sz w:val="16"/>
                <w:szCs w:val="16"/>
              </w:rPr>
              <w:t>Verarbeiter</w:t>
            </w:r>
          </w:p>
        </w:tc>
        <w:tc>
          <w:tcPr>
            <w:tcW w:w="893" w:type="pct"/>
            <w:vAlign w:val="center"/>
          </w:tcPr>
          <w:p w:rsidR="00584129" w:rsidRPr="00FA25B6" w:rsidRDefault="00125125"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FA25B6">
              <w:rPr>
                <w:rFonts w:ascii="Gill Sans MT" w:hAnsi="Gill Sans MT"/>
                <w:sz w:val="16"/>
                <w:szCs w:val="16"/>
              </w:rPr>
              <w:t>71‘357</w:t>
            </w:r>
          </w:p>
        </w:tc>
        <w:tc>
          <w:tcPr>
            <w:tcW w:w="971" w:type="pct"/>
            <w:vAlign w:val="center"/>
          </w:tcPr>
          <w:p w:rsidR="00584129" w:rsidRPr="00FA25B6" w:rsidRDefault="00125125"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FA25B6">
              <w:rPr>
                <w:rFonts w:ascii="Gill Sans MT" w:hAnsi="Gill Sans MT"/>
                <w:sz w:val="16"/>
                <w:szCs w:val="16"/>
              </w:rPr>
              <w:t>68‘164</w:t>
            </w:r>
          </w:p>
        </w:tc>
        <w:tc>
          <w:tcPr>
            <w:tcW w:w="1753" w:type="pct"/>
            <w:vAlign w:val="center"/>
          </w:tcPr>
          <w:p w:rsidR="00584129" w:rsidRPr="00FA25B6" w:rsidRDefault="00584129" w:rsidP="00FA25B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FA25B6">
              <w:rPr>
                <w:rFonts w:ascii="Gill Sans MT" w:hAnsi="Gill Sans MT"/>
                <w:sz w:val="16"/>
                <w:szCs w:val="16"/>
              </w:rPr>
              <w:t>Italien (</w:t>
            </w:r>
            <w:r w:rsidR="00595DB8" w:rsidRPr="00FA25B6">
              <w:rPr>
                <w:rFonts w:ascii="Gill Sans MT" w:hAnsi="Gill Sans MT"/>
                <w:sz w:val="16"/>
                <w:szCs w:val="16"/>
              </w:rPr>
              <w:t>1</w:t>
            </w:r>
            <w:r w:rsidR="00FA25B6" w:rsidRPr="00FA25B6">
              <w:rPr>
                <w:rFonts w:ascii="Gill Sans MT" w:hAnsi="Gill Sans MT"/>
                <w:sz w:val="16"/>
                <w:szCs w:val="16"/>
              </w:rPr>
              <w:t>8’092</w:t>
            </w:r>
            <w:r w:rsidRPr="00FA25B6">
              <w:rPr>
                <w:rFonts w:ascii="Gill Sans MT" w:hAnsi="Gill Sans MT"/>
                <w:sz w:val="16"/>
                <w:szCs w:val="16"/>
              </w:rPr>
              <w:t>)</w:t>
            </w:r>
            <w:r w:rsidRPr="00FA25B6">
              <w:rPr>
                <w:rFonts w:ascii="Gill Sans MT" w:hAnsi="Gill Sans MT"/>
                <w:sz w:val="16"/>
                <w:szCs w:val="16"/>
              </w:rPr>
              <w:br/>
              <w:t>Deutschland (</w:t>
            </w:r>
            <w:r w:rsidR="00FA25B6" w:rsidRPr="00FA25B6">
              <w:rPr>
                <w:rFonts w:ascii="Gill Sans MT" w:hAnsi="Gill Sans MT"/>
                <w:sz w:val="16"/>
                <w:szCs w:val="16"/>
              </w:rPr>
              <w:t>15’0191</w:t>
            </w:r>
            <w:r w:rsidRPr="00FA25B6">
              <w:rPr>
                <w:rFonts w:ascii="Gill Sans MT" w:hAnsi="Gill Sans MT"/>
                <w:sz w:val="16"/>
                <w:szCs w:val="16"/>
              </w:rPr>
              <w:t>)</w:t>
            </w:r>
            <w:r w:rsidRPr="00FA25B6">
              <w:rPr>
                <w:rFonts w:ascii="Gill Sans MT" w:hAnsi="Gill Sans MT"/>
                <w:sz w:val="16"/>
                <w:szCs w:val="16"/>
              </w:rPr>
              <w:br/>
              <w:t>Frankreich (</w:t>
            </w:r>
            <w:r w:rsidR="00FA25B6" w:rsidRPr="00FA25B6">
              <w:rPr>
                <w:rFonts w:ascii="Gill Sans MT" w:hAnsi="Gill Sans MT"/>
                <w:sz w:val="16"/>
                <w:szCs w:val="16"/>
              </w:rPr>
              <w:t>14’859</w:t>
            </w:r>
            <w:r w:rsidRPr="00FA25B6">
              <w:rPr>
                <w:rFonts w:ascii="Gill Sans MT" w:hAnsi="Gill Sans MT"/>
                <w:sz w:val="16"/>
                <w:szCs w:val="16"/>
              </w:rPr>
              <w:t>)</w:t>
            </w:r>
          </w:p>
        </w:tc>
      </w:tr>
      <w:tr w:rsidR="00472118" w:rsidRPr="00C21CF4" w:rsidTr="00F61C44">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FA25B6" w:rsidRDefault="00584129" w:rsidP="00F61C44">
            <w:pPr>
              <w:spacing w:beforeLines="20" w:before="48" w:afterLines="20" w:after="48"/>
              <w:rPr>
                <w:rFonts w:ascii="Gill Sans MT" w:hAnsi="Gill Sans MT"/>
                <w:b w:val="0"/>
                <w:bCs w:val="0"/>
                <w:sz w:val="16"/>
                <w:szCs w:val="16"/>
              </w:rPr>
            </w:pPr>
            <w:r w:rsidRPr="00FA25B6">
              <w:rPr>
                <w:rFonts w:ascii="Gill Sans MT" w:hAnsi="Gill Sans MT"/>
                <w:b w:val="0"/>
                <w:bCs w:val="0"/>
                <w:sz w:val="16"/>
                <w:szCs w:val="16"/>
              </w:rPr>
              <w:t>Importeure</w:t>
            </w:r>
          </w:p>
        </w:tc>
        <w:tc>
          <w:tcPr>
            <w:tcW w:w="893" w:type="pct"/>
            <w:vAlign w:val="center"/>
          </w:tcPr>
          <w:p w:rsidR="00584129" w:rsidRPr="00FA25B6" w:rsidRDefault="00FA25B6"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bCs/>
                <w:sz w:val="16"/>
                <w:szCs w:val="16"/>
              </w:rPr>
            </w:pPr>
            <w:r w:rsidRPr="00FA25B6">
              <w:rPr>
                <w:rFonts w:ascii="Gill Sans MT" w:hAnsi="Gill Sans MT"/>
                <w:bCs/>
                <w:sz w:val="16"/>
                <w:szCs w:val="16"/>
              </w:rPr>
              <w:t>5’314</w:t>
            </w:r>
          </w:p>
        </w:tc>
        <w:tc>
          <w:tcPr>
            <w:tcW w:w="971" w:type="pct"/>
            <w:vAlign w:val="center"/>
          </w:tcPr>
          <w:p w:rsidR="00584129" w:rsidRPr="00FA25B6" w:rsidRDefault="00FA25B6"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bCs/>
                <w:sz w:val="16"/>
                <w:szCs w:val="16"/>
              </w:rPr>
            </w:pPr>
            <w:r w:rsidRPr="00FA25B6">
              <w:rPr>
                <w:rFonts w:ascii="Gill Sans MT" w:hAnsi="Gill Sans MT"/>
                <w:bCs/>
                <w:sz w:val="16"/>
                <w:szCs w:val="16"/>
              </w:rPr>
              <w:t>4’585</w:t>
            </w:r>
          </w:p>
        </w:tc>
        <w:tc>
          <w:tcPr>
            <w:tcW w:w="1753" w:type="pct"/>
            <w:vAlign w:val="center"/>
          </w:tcPr>
          <w:p w:rsidR="00584129" w:rsidRPr="00FA25B6" w:rsidRDefault="00584129" w:rsidP="00F61C4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bCs/>
                <w:sz w:val="16"/>
                <w:szCs w:val="16"/>
              </w:rPr>
            </w:pPr>
            <w:r w:rsidRPr="00FA25B6">
              <w:rPr>
                <w:rFonts w:ascii="Gill Sans MT" w:hAnsi="Gill Sans MT"/>
                <w:bCs/>
                <w:sz w:val="16"/>
                <w:szCs w:val="16"/>
              </w:rPr>
              <w:t>Deutschland (</w:t>
            </w:r>
            <w:r w:rsidR="00FA25B6" w:rsidRPr="00FA25B6">
              <w:rPr>
                <w:rFonts w:ascii="Gill Sans MT" w:hAnsi="Gill Sans MT"/>
                <w:bCs/>
                <w:sz w:val="16"/>
                <w:szCs w:val="16"/>
              </w:rPr>
              <w:t>1’692</w:t>
            </w:r>
            <w:r w:rsidRPr="00FA25B6">
              <w:rPr>
                <w:rFonts w:ascii="Gill Sans MT" w:hAnsi="Gill Sans MT"/>
                <w:bCs/>
                <w:sz w:val="16"/>
                <w:szCs w:val="16"/>
              </w:rPr>
              <w:t xml:space="preserve">) </w:t>
            </w:r>
            <w:r w:rsidRPr="00FA25B6">
              <w:rPr>
                <w:rFonts w:ascii="Gill Sans MT" w:hAnsi="Gill Sans MT"/>
                <w:bCs/>
                <w:sz w:val="16"/>
                <w:szCs w:val="16"/>
              </w:rPr>
              <w:br/>
            </w:r>
            <w:r w:rsidR="00595DB8" w:rsidRPr="00FA25B6">
              <w:rPr>
                <w:rFonts w:ascii="Gill Sans MT" w:hAnsi="Gill Sans MT"/>
                <w:bCs/>
                <w:sz w:val="16"/>
                <w:szCs w:val="16"/>
              </w:rPr>
              <w:t xml:space="preserve">Schweiz </w:t>
            </w:r>
            <w:r w:rsidRPr="00FA25B6">
              <w:rPr>
                <w:rFonts w:ascii="Gill Sans MT" w:hAnsi="Gill Sans MT"/>
                <w:bCs/>
                <w:sz w:val="16"/>
                <w:szCs w:val="16"/>
              </w:rPr>
              <w:t>(</w:t>
            </w:r>
            <w:r w:rsidR="00FA25B6" w:rsidRPr="00FA25B6">
              <w:rPr>
                <w:rFonts w:ascii="Gill Sans MT" w:hAnsi="Gill Sans MT"/>
                <w:bCs/>
                <w:sz w:val="16"/>
                <w:szCs w:val="16"/>
              </w:rPr>
              <w:t>548</w:t>
            </w:r>
            <w:r w:rsidRPr="00FA25B6">
              <w:rPr>
                <w:rFonts w:ascii="Gill Sans MT" w:hAnsi="Gill Sans MT"/>
                <w:bCs/>
                <w:sz w:val="16"/>
                <w:szCs w:val="16"/>
              </w:rPr>
              <w:t>)</w:t>
            </w:r>
          </w:p>
          <w:p w:rsidR="00584129" w:rsidRPr="00FA25B6" w:rsidRDefault="00595DB8" w:rsidP="00F61C44">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bCs/>
                <w:sz w:val="16"/>
                <w:szCs w:val="16"/>
              </w:rPr>
            </w:pPr>
            <w:r w:rsidRPr="00FA25B6">
              <w:rPr>
                <w:rFonts w:ascii="Gill Sans MT" w:hAnsi="Gill Sans MT"/>
                <w:bCs/>
                <w:sz w:val="16"/>
                <w:szCs w:val="16"/>
              </w:rPr>
              <w:t>Niederland</w:t>
            </w:r>
            <w:r w:rsidR="00313532">
              <w:rPr>
                <w:rFonts w:ascii="Gill Sans MT" w:hAnsi="Gill Sans MT"/>
                <w:bCs/>
                <w:sz w:val="16"/>
                <w:szCs w:val="16"/>
              </w:rPr>
              <w:t>e</w:t>
            </w:r>
            <w:r w:rsidRPr="00FA25B6">
              <w:rPr>
                <w:rFonts w:ascii="Gill Sans MT" w:hAnsi="Gill Sans MT"/>
                <w:bCs/>
                <w:sz w:val="16"/>
                <w:szCs w:val="16"/>
              </w:rPr>
              <w:t xml:space="preserve"> </w:t>
            </w:r>
            <w:r w:rsidR="00584129" w:rsidRPr="00FA25B6">
              <w:rPr>
                <w:rFonts w:ascii="Gill Sans MT" w:hAnsi="Gill Sans MT"/>
                <w:bCs/>
                <w:sz w:val="16"/>
                <w:szCs w:val="16"/>
              </w:rPr>
              <w:t>(</w:t>
            </w:r>
            <w:r w:rsidR="00FA25B6" w:rsidRPr="00FA25B6">
              <w:rPr>
                <w:rFonts w:ascii="Gill Sans MT" w:hAnsi="Gill Sans MT"/>
                <w:bCs/>
                <w:sz w:val="16"/>
                <w:szCs w:val="16"/>
              </w:rPr>
              <w:t>385</w:t>
            </w:r>
            <w:r w:rsidR="00584129" w:rsidRPr="00FA25B6">
              <w:rPr>
                <w:rFonts w:ascii="Gill Sans MT" w:hAnsi="Gill Sans MT"/>
                <w:bCs/>
                <w:sz w:val="16"/>
                <w:szCs w:val="16"/>
              </w:rPr>
              <w:t>)</w:t>
            </w:r>
          </w:p>
        </w:tc>
      </w:tr>
      <w:tr w:rsidR="00472118" w:rsidRPr="00C21CF4" w:rsidTr="00F61C4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Einzelhandelsumsätze</w:t>
            </w:r>
          </w:p>
        </w:tc>
        <w:tc>
          <w:tcPr>
            <w:tcW w:w="893" w:type="pct"/>
            <w:vAlign w:val="center"/>
          </w:tcPr>
          <w:p w:rsidR="00584129" w:rsidRPr="00C21CF4" w:rsidRDefault="00595DB8" w:rsidP="00FA25B6">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3</w:t>
            </w:r>
            <w:r w:rsidR="00FA25B6">
              <w:rPr>
                <w:rFonts w:ascii="Gill Sans MT" w:hAnsi="Gill Sans MT"/>
                <w:sz w:val="16"/>
                <w:szCs w:val="16"/>
              </w:rPr>
              <w:t>7,3</w:t>
            </w:r>
            <w:r w:rsidR="00584129" w:rsidRPr="00C21CF4">
              <w:rPr>
                <w:rFonts w:ascii="Gill Sans MT" w:hAnsi="Gill Sans MT"/>
                <w:sz w:val="16"/>
                <w:szCs w:val="16"/>
              </w:rPr>
              <w:t xml:space="preserve"> Milliarden Euro</w:t>
            </w:r>
          </w:p>
        </w:tc>
        <w:tc>
          <w:tcPr>
            <w:tcW w:w="971" w:type="pct"/>
            <w:vAlign w:val="center"/>
          </w:tcPr>
          <w:p w:rsidR="00584129" w:rsidRPr="00C21CF4" w:rsidRDefault="00FA25B6" w:rsidP="00B12B9B">
            <w:pPr>
              <w:spacing w:beforeLines="20" w:before="48" w:afterLines="20" w:after="48"/>
              <w:jc w:val="center"/>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Pr>
                <w:rFonts w:ascii="Gill Sans MT" w:hAnsi="Gill Sans MT"/>
                <w:sz w:val="16"/>
                <w:szCs w:val="16"/>
              </w:rPr>
              <w:t>34,3</w:t>
            </w:r>
            <w:r w:rsidR="00595DB8" w:rsidRPr="00C21CF4">
              <w:rPr>
                <w:rFonts w:ascii="Gill Sans MT" w:hAnsi="Gill Sans MT"/>
                <w:sz w:val="16"/>
                <w:szCs w:val="16"/>
              </w:rPr>
              <w:t xml:space="preserve"> </w:t>
            </w:r>
            <w:r w:rsidR="00584129" w:rsidRPr="00C21CF4">
              <w:rPr>
                <w:rFonts w:ascii="Gill Sans MT" w:hAnsi="Gill Sans MT"/>
                <w:sz w:val="16"/>
                <w:szCs w:val="16"/>
              </w:rPr>
              <w:t>Milliarden Euro</w:t>
            </w:r>
          </w:p>
        </w:tc>
        <w:tc>
          <w:tcPr>
            <w:tcW w:w="1753" w:type="pct"/>
            <w:vAlign w:val="center"/>
          </w:tcPr>
          <w:p w:rsidR="00584129" w:rsidRPr="00C21CF4" w:rsidRDefault="00584129" w:rsidP="00FA25B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Deutschland (</w:t>
            </w:r>
            <w:r w:rsidR="00FA25B6" w:rsidRPr="00FA25B6">
              <w:rPr>
                <w:rFonts w:ascii="Gill Sans MT" w:hAnsi="Gill Sans MT"/>
                <w:sz w:val="16"/>
                <w:szCs w:val="16"/>
              </w:rPr>
              <w:t>10’040</w:t>
            </w:r>
            <w:r w:rsidR="00595DB8" w:rsidRPr="00C21CF4">
              <w:rPr>
                <w:rFonts w:ascii="Gill Sans MT" w:hAnsi="Gill Sans MT"/>
                <w:sz w:val="16"/>
                <w:szCs w:val="16"/>
              </w:rPr>
              <w:t xml:space="preserve"> </w:t>
            </w:r>
            <w:r w:rsidRPr="00C21CF4">
              <w:rPr>
                <w:rFonts w:ascii="Gill Sans MT" w:hAnsi="Gill Sans MT"/>
                <w:sz w:val="16"/>
                <w:szCs w:val="16"/>
              </w:rPr>
              <w:t>Millionen Euro)</w:t>
            </w:r>
            <w:r w:rsidRPr="00C21CF4">
              <w:rPr>
                <w:rFonts w:ascii="Gill Sans MT" w:hAnsi="Gill Sans MT"/>
                <w:sz w:val="16"/>
                <w:szCs w:val="16"/>
              </w:rPr>
              <w:br/>
              <w:t>Frankreich (</w:t>
            </w:r>
            <w:r w:rsidR="00FA25B6" w:rsidRPr="00FA25B6">
              <w:rPr>
                <w:rFonts w:ascii="Gill Sans MT" w:hAnsi="Gill Sans MT"/>
                <w:sz w:val="16"/>
                <w:szCs w:val="16"/>
              </w:rPr>
              <w:t>7’921</w:t>
            </w:r>
            <w:r w:rsidR="00595DB8" w:rsidRPr="00C21CF4">
              <w:rPr>
                <w:rFonts w:ascii="Gill Sans MT" w:hAnsi="Gill Sans MT"/>
                <w:sz w:val="16"/>
                <w:szCs w:val="16"/>
              </w:rPr>
              <w:t xml:space="preserve"> </w:t>
            </w:r>
            <w:r w:rsidRPr="00C21CF4">
              <w:rPr>
                <w:rFonts w:ascii="Gill Sans MT" w:hAnsi="Gill Sans MT"/>
                <w:sz w:val="16"/>
                <w:szCs w:val="16"/>
              </w:rPr>
              <w:t>Millionen Euro)</w:t>
            </w:r>
            <w:r w:rsidRPr="00C21CF4">
              <w:rPr>
                <w:rFonts w:ascii="Gill Sans MT" w:hAnsi="Gill Sans MT"/>
                <w:sz w:val="16"/>
                <w:szCs w:val="16"/>
              </w:rPr>
              <w:br/>
            </w:r>
            <w:r w:rsidR="00595DB8" w:rsidRPr="00C21CF4">
              <w:rPr>
                <w:rFonts w:ascii="Gill Sans MT" w:hAnsi="Gill Sans MT"/>
                <w:sz w:val="16"/>
                <w:szCs w:val="16"/>
              </w:rPr>
              <w:t xml:space="preserve">Italien </w:t>
            </w:r>
            <w:r w:rsidRPr="00C21CF4">
              <w:rPr>
                <w:rFonts w:ascii="Gill Sans MT" w:hAnsi="Gill Sans MT"/>
                <w:sz w:val="16"/>
                <w:szCs w:val="16"/>
              </w:rPr>
              <w:t>(</w:t>
            </w:r>
            <w:r w:rsidR="00FA25B6" w:rsidRPr="00FA25B6">
              <w:rPr>
                <w:rFonts w:ascii="Gill Sans MT" w:hAnsi="Gill Sans MT"/>
                <w:sz w:val="16"/>
                <w:szCs w:val="16"/>
              </w:rPr>
              <w:t>3’137</w:t>
            </w:r>
            <w:r w:rsidR="00595DB8" w:rsidRPr="00C21CF4">
              <w:rPr>
                <w:rFonts w:ascii="Gill Sans MT" w:hAnsi="Gill Sans MT"/>
                <w:sz w:val="16"/>
                <w:szCs w:val="16"/>
              </w:rPr>
              <w:t xml:space="preserve"> </w:t>
            </w:r>
            <w:r w:rsidRPr="00C21CF4">
              <w:rPr>
                <w:rFonts w:ascii="Gill Sans MT" w:hAnsi="Gill Sans MT"/>
                <w:sz w:val="16"/>
                <w:szCs w:val="16"/>
              </w:rPr>
              <w:t>Millionen Euro)</w:t>
            </w:r>
          </w:p>
        </w:tc>
      </w:tr>
      <w:tr w:rsidR="00472118" w:rsidRPr="00C21CF4" w:rsidTr="00F61C44">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Zunahme Einzelhandelsumsätze</w:t>
            </w:r>
          </w:p>
        </w:tc>
        <w:tc>
          <w:tcPr>
            <w:tcW w:w="893" w:type="pct"/>
            <w:vAlign w:val="center"/>
          </w:tcPr>
          <w:p w:rsidR="00584129" w:rsidRPr="00C21CF4" w:rsidRDefault="00FA25B6"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10,5</w:t>
            </w:r>
            <w:r w:rsidR="00584129" w:rsidRPr="00C21CF4">
              <w:rPr>
                <w:rFonts w:ascii="Gill Sans MT" w:hAnsi="Gill Sans MT"/>
                <w:sz w:val="16"/>
                <w:szCs w:val="16"/>
              </w:rPr>
              <w:t xml:space="preserve"> %</w:t>
            </w:r>
          </w:p>
        </w:tc>
        <w:tc>
          <w:tcPr>
            <w:tcW w:w="971" w:type="pct"/>
            <w:vAlign w:val="center"/>
          </w:tcPr>
          <w:p w:rsidR="00584129" w:rsidRPr="00C21CF4" w:rsidRDefault="00FA25B6"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10,9</w:t>
            </w:r>
            <w:r w:rsidR="00584129" w:rsidRPr="00C21CF4">
              <w:rPr>
                <w:rFonts w:ascii="Gill Sans MT" w:hAnsi="Gill Sans MT"/>
                <w:sz w:val="16"/>
                <w:szCs w:val="16"/>
              </w:rPr>
              <w:t xml:space="preserve"> %</w:t>
            </w:r>
          </w:p>
        </w:tc>
        <w:tc>
          <w:tcPr>
            <w:tcW w:w="1753" w:type="pct"/>
            <w:vAlign w:val="center"/>
          </w:tcPr>
          <w:p w:rsidR="00584129" w:rsidRPr="00C21CF4" w:rsidRDefault="00F1030B" w:rsidP="00FA25B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 xml:space="preserve">Frankreich </w:t>
            </w:r>
            <w:r w:rsidR="00584129" w:rsidRPr="00C21CF4">
              <w:rPr>
                <w:rFonts w:ascii="Gill Sans MT" w:hAnsi="Gill Sans MT"/>
                <w:sz w:val="16"/>
                <w:szCs w:val="16"/>
              </w:rPr>
              <w:t>(</w:t>
            </w:r>
            <w:r w:rsidR="00FA25B6">
              <w:rPr>
                <w:rFonts w:ascii="Gill Sans MT" w:hAnsi="Gill Sans MT"/>
                <w:sz w:val="16"/>
                <w:szCs w:val="16"/>
              </w:rPr>
              <w:t xml:space="preserve">28 </w:t>
            </w:r>
            <w:r w:rsidR="00584129" w:rsidRPr="00C21CF4">
              <w:rPr>
                <w:rFonts w:ascii="Gill Sans MT" w:hAnsi="Gill Sans MT"/>
                <w:sz w:val="16"/>
                <w:szCs w:val="16"/>
              </w:rPr>
              <w:t>%)</w:t>
            </w:r>
            <w:r w:rsidR="00584129" w:rsidRPr="00C21CF4">
              <w:rPr>
                <w:rFonts w:ascii="Gill Sans MT" w:hAnsi="Gill Sans MT"/>
                <w:sz w:val="16"/>
                <w:szCs w:val="16"/>
              </w:rPr>
              <w:br/>
            </w:r>
            <w:r w:rsidR="00FA25B6">
              <w:rPr>
                <w:rFonts w:ascii="Gill Sans MT" w:hAnsi="Gill Sans MT"/>
                <w:sz w:val="16"/>
                <w:szCs w:val="16"/>
              </w:rPr>
              <w:t>Spanien</w:t>
            </w:r>
            <w:r w:rsidR="0071726B" w:rsidRPr="00C21CF4">
              <w:rPr>
                <w:rFonts w:ascii="Gill Sans MT" w:hAnsi="Gill Sans MT"/>
                <w:sz w:val="16"/>
                <w:szCs w:val="16"/>
              </w:rPr>
              <w:t xml:space="preserve"> </w:t>
            </w:r>
            <w:r w:rsidR="00FA25B6">
              <w:rPr>
                <w:rFonts w:ascii="Gill Sans MT" w:hAnsi="Gill Sans MT"/>
                <w:sz w:val="16"/>
                <w:szCs w:val="16"/>
              </w:rPr>
              <w:t>(16</w:t>
            </w:r>
            <w:r w:rsidR="00584129" w:rsidRPr="00C21CF4">
              <w:rPr>
                <w:rFonts w:ascii="Gill Sans MT" w:hAnsi="Gill Sans MT"/>
                <w:sz w:val="16"/>
                <w:szCs w:val="16"/>
              </w:rPr>
              <w:t xml:space="preserve"> </w:t>
            </w:r>
            <w:r w:rsidR="0071726B" w:rsidRPr="00C21CF4">
              <w:rPr>
                <w:rFonts w:ascii="Gill Sans MT" w:hAnsi="Gill Sans MT"/>
                <w:sz w:val="16"/>
                <w:szCs w:val="16"/>
              </w:rPr>
              <w:t>%)</w:t>
            </w:r>
            <w:r w:rsidR="00FA25B6">
              <w:rPr>
                <w:rFonts w:ascii="Gill Sans MT" w:hAnsi="Gill Sans MT"/>
                <w:sz w:val="16"/>
                <w:szCs w:val="16"/>
              </w:rPr>
              <w:br/>
              <w:t>Dänemark, Liechtenstein (15%)</w:t>
            </w:r>
          </w:p>
        </w:tc>
      </w:tr>
      <w:tr w:rsidR="00472118" w:rsidRPr="00C21CF4" w:rsidTr="00F61C4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Biomarktanteil</w:t>
            </w:r>
          </w:p>
        </w:tc>
        <w:tc>
          <w:tcPr>
            <w:tcW w:w="893" w:type="pct"/>
            <w:vAlign w:val="center"/>
          </w:tcPr>
          <w:p w:rsidR="00584129" w:rsidRPr="00C21CF4" w:rsidRDefault="00584129"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Keine Angaben</w:t>
            </w:r>
          </w:p>
        </w:tc>
        <w:tc>
          <w:tcPr>
            <w:tcW w:w="971" w:type="pct"/>
            <w:vAlign w:val="center"/>
          </w:tcPr>
          <w:p w:rsidR="00584129" w:rsidRPr="00C21CF4" w:rsidRDefault="00584129" w:rsidP="00F61C44">
            <w:pPr>
              <w:spacing w:beforeLines="20" w:before="48" w:afterLines="20" w:after="48"/>
              <w:jc w:val="right"/>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Keine Angaben</w:t>
            </w:r>
          </w:p>
        </w:tc>
        <w:tc>
          <w:tcPr>
            <w:tcW w:w="1753" w:type="pct"/>
            <w:vAlign w:val="center"/>
          </w:tcPr>
          <w:p w:rsidR="00584129" w:rsidRPr="00C21CF4" w:rsidRDefault="00584129" w:rsidP="00FA25B6">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Dänemark (</w:t>
            </w:r>
            <w:r w:rsidR="00FA25B6">
              <w:rPr>
                <w:rFonts w:ascii="Gill Sans MT" w:hAnsi="Gill Sans MT"/>
                <w:sz w:val="16"/>
                <w:szCs w:val="16"/>
              </w:rPr>
              <w:t>13,3</w:t>
            </w:r>
            <w:r w:rsidRPr="00C21CF4">
              <w:rPr>
                <w:rFonts w:ascii="Gill Sans MT" w:hAnsi="Gill Sans MT"/>
                <w:sz w:val="16"/>
                <w:szCs w:val="16"/>
              </w:rPr>
              <w:t xml:space="preserve"> %)</w:t>
            </w:r>
            <w:r w:rsidRPr="00C21CF4">
              <w:rPr>
                <w:rFonts w:ascii="Gill Sans MT" w:hAnsi="Gill Sans MT"/>
                <w:sz w:val="16"/>
                <w:szCs w:val="16"/>
              </w:rPr>
              <w:br/>
            </w:r>
            <w:r w:rsidR="00FA25B6">
              <w:rPr>
                <w:rFonts w:ascii="Gill Sans MT" w:hAnsi="Gill Sans MT"/>
                <w:sz w:val="16"/>
                <w:szCs w:val="16"/>
              </w:rPr>
              <w:t>Schweden</w:t>
            </w:r>
            <w:r w:rsidR="0071726B" w:rsidRPr="00C21CF4">
              <w:rPr>
                <w:rFonts w:ascii="Gill Sans MT" w:hAnsi="Gill Sans MT"/>
                <w:sz w:val="16"/>
                <w:szCs w:val="16"/>
              </w:rPr>
              <w:t xml:space="preserve"> </w:t>
            </w:r>
            <w:r w:rsidRPr="00C21CF4">
              <w:rPr>
                <w:rFonts w:ascii="Gill Sans MT" w:hAnsi="Gill Sans MT"/>
                <w:sz w:val="16"/>
                <w:szCs w:val="16"/>
              </w:rPr>
              <w:t>(</w:t>
            </w:r>
            <w:r w:rsidR="00FA25B6">
              <w:rPr>
                <w:rFonts w:ascii="Gill Sans MT" w:hAnsi="Gill Sans MT"/>
                <w:sz w:val="16"/>
                <w:szCs w:val="16"/>
              </w:rPr>
              <w:t>9,1</w:t>
            </w:r>
            <w:r w:rsidRPr="00C21CF4">
              <w:rPr>
                <w:rFonts w:ascii="Gill Sans MT" w:hAnsi="Gill Sans MT"/>
                <w:sz w:val="16"/>
                <w:szCs w:val="16"/>
              </w:rPr>
              <w:t xml:space="preserve"> %)</w:t>
            </w:r>
            <w:r w:rsidRPr="00C21CF4">
              <w:rPr>
                <w:rFonts w:ascii="Gill Sans MT" w:hAnsi="Gill Sans MT"/>
                <w:sz w:val="16"/>
                <w:szCs w:val="16"/>
              </w:rPr>
              <w:br/>
            </w:r>
            <w:r w:rsidR="0071726B" w:rsidRPr="00C21CF4">
              <w:rPr>
                <w:rFonts w:ascii="Gill Sans MT" w:hAnsi="Gill Sans MT"/>
                <w:sz w:val="16"/>
                <w:szCs w:val="16"/>
              </w:rPr>
              <w:t xml:space="preserve">Schweiz </w:t>
            </w:r>
            <w:r w:rsidRPr="00C21CF4">
              <w:rPr>
                <w:rFonts w:ascii="Gill Sans MT" w:hAnsi="Gill Sans MT"/>
                <w:sz w:val="16"/>
                <w:szCs w:val="16"/>
              </w:rPr>
              <w:t>(</w:t>
            </w:r>
            <w:r w:rsidR="00FA25B6">
              <w:rPr>
                <w:rFonts w:ascii="Gill Sans MT" w:hAnsi="Gill Sans MT"/>
                <w:sz w:val="16"/>
                <w:szCs w:val="16"/>
              </w:rPr>
              <w:t>9,0</w:t>
            </w:r>
            <w:r w:rsidRPr="00C21CF4">
              <w:rPr>
                <w:rFonts w:ascii="Gill Sans MT" w:hAnsi="Gill Sans MT"/>
                <w:sz w:val="16"/>
                <w:szCs w:val="16"/>
              </w:rPr>
              <w:t xml:space="preserve"> %)</w:t>
            </w:r>
          </w:p>
        </w:tc>
      </w:tr>
      <w:tr w:rsidR="00472118" w:rsidRPr="00C21CF4" w:rsidTr="00F61C44">
        <w:trPr>
          <w:trHeight w:val="576"/>
        </w:trPr>
        <w:tc>
          <w:tcPr>
            <w:cnfStyle w:val="001000000000" w:firstRow="0" w:lastRow="0" w:firstColumn="1" w:lastColumn="0" w:oddVBand="0" w:evenVBand="0" w:oddHBand="0" w:evenHBand="0" w:firstRowFirstColumn="0" w:firstRowLastColumn="0" w:lastRowFirstColumn="0" w:lastRowLastColumn="0"/>
            <w:tcW w:w="1384" w:type="pct"/>
            <w:vAlign w:val="center"/>
          </w:tcPr>
          <w:p w:rsidR="00584129" w:rsidRPr="00C21CF4" w:rsidRDefault="00584129" w:rsidP="00F61C44">
            <w:pPr>
              <w:spacing w:beforeLines="20" w:before="48" w:afterLines="20" w:after="48"/>
              <w:rPr>
                <w:rFonts w:ascii="Gill Sans MT" w:hAnsi="Gill Sans MT"/>
                <w:b w:val="0"/>
                <w:bCs w:val="0"/>
                <w:sz w:val="16"/>
                <w:szCs w:val="16"/>
              </w:rPr>
            </w:pPr>
            <w:r w:rsidRPr="00C21CF4">
              <w:rPr>
                <w:rFonts w:ascii="Gill Sans MT" w:hAnsi="Gill Sans MT"/>
                <w:b w:val="0"/>
                <w:bCs w:val="0"/>
                <w:sz w:val="16"/>
                <w:szCs w:val="16"/>
              </w:rPr>
              <w:t>Pro-Kopf-Bioverbrauch</w:t>
            </w:r>
            <w:r w:rsidR="00FA25B6">
              <w:rPr>
                <w:rFonts w:ascii="Gill Sans MT" w:hAnsi="Gill Sans MT"/>
                <w:b w:val="0"/>
                <w:bCs w:val="0"/>
                <w:sz w:val="16"/>
                <w:szCs w:val="16"/>
              </w:rPr>
              <w:t xml:space="preserve"> 2017</w:t>
            </w:r>
          </w:p>
        </w:tc>
        <w:tc>
          <w:tcPr>
            <w:tcW w:w="893" w:type="pct"/>
            <w:vAlign w:val="center"/>
          </w:tcPr>
          <w:p w:rsidR="00584129" w:rsidRPr="00C21CF4" w:rsidRDefault="00FA25B6"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47</w:t>
            </w:r>
            <w:r w:rsidR="00584129" w:rsidRPr="00C21CF4">
              <w:rPr>
                <w:rFonts w:ascii="Gill Sans MT" w:hAnsi="Gill Sans MT"/>
                <w:sz w:val="16"/>
                <w:szCs w:val="16"/>
              </w:rPr>
              <w:t xml:space="preserve"> Euro</w:t>
            </w:r>
          </w:p>
        </w:tc>
        <w:tc>
          <w:tcPr>
            <w:tcW w:w="971" w:type="pct"/>
            <w:vAlign w:val="center"/>
          </w:tcPr>
          <w:p w:rsidR="00584129" w:rsidRPr="00C21CF4" w:rsidRDefault="00FA25B6" w:rsidP="00F61C44">
            <w:pPr>
              <w:spacing w:beforeLines="20" w:before="48" w:afterLines="20" w:after="48"/>
              <w:jc w:val="right"/>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Pr>
                <w:rFonts w:ascii="Gill Sans MT" w:hAnsi="Gill Sans MT"/>
                <w:sz w:val="16"/>
                <w:szCs w:val="16"/>
              </w:rPr>
              <w:t>67</w:t>
            </w:r>
            <w:r w:rsidR="00584129" w:rsidRPr="00C21CF4">
              <w:rPr>
                <w:rFonts w:ascii="Gill Sans MT" w:hAnsi="Gill Sans MT"/>
                <w:sz w:val="16"/>
                <w:szCs w:val="16"/>
              </w:rPr>
              <w:t xml:space="preserve"> Euro</w:t>
            </w:r>
          </w:p>
        </w:tc>
        <w:tc>
          <w:tcPr>
            <w:tcW w:w="1753" w:type="pct"/>
            <w:vAlign w:val="center"/>
          </w:tcPr>
          <w:p w:rsidR="00584129" w:rsidRPr="00C21CF4" w:rsidRDefault="00584129" w:rsidP="00FA25B6">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ascii="Gill Sans MT" w:hAnsi="Gill Sans MT"/>
                <w:sz w:val="16"/>
                <w:szCs w:val="16"/>
              </w:rPr>
            </w:pPr>
            <w:r w:rsidRPr="00C21CF4">
              <w:rPr>
                <w:rFonts w:ascii="Gill Sans MT" w:hAnsi="Gill Sans MT"/>
                <w:sz w:val="16"/>
                <w:szCs w:val="16"/>
              </w:rPr>
              <w:t>Schweiz (</w:t>
            </w:r>
            <w:r w:rsidR="00FA25B6">
              <w:rPr>
                <w:rFonts w:ascii="Gill Sans MT" w:hAnsi="Gill Sans MT"/>
                <w:sz w:val="16"/>
                <w:szCs w:val="16"/>
              </w:rPr>
              <w:t>288</w:t>
            </w:r>
            <w:r w:rsidRPr="00C21CF4">
              <w:rPr>
                <w:rFonts w:ascii="Gill Sans MT" w:hAnsi="Gill Sans MT"/>
                <w:sz w:val="16"/>
                <w:szCs w:val="16"/>
              </w:rPr>
              <w:t xml:space="preserve"> Euro)</w:t>
            </w:r>
            <w:r w:rsidRPr="00C21CF4">
              <w:rPr>
                <w:rFonts w:ascii="Gill Sans MT" w:hAnsi="Gill Sans MT"/>
                <w:sz w:val="16"/>
                <w:szCs w:val="16"/>
              </w:rPr>
              <w:br/>
              <w:t>Dänemark (</w:t>
            </w:r>
            <w:r w:rsidR="00FA25B6">
              <w:rPr>
                <w:rFonts w:ascii="Gill Sans MT" w:hAnsi="Gill Sans MT"/>
                <w:sz w:val="16"/>
                <w:szCs w:val="16"/>
              </w:rPr>
              <w:t>278</w:t>
            </w:r>
            <w:r w:rsidRPr="00C21CF4">
              <w:rPr>
                <w:rFonts w:ascii="Gill Sans MT" w:hAnsi="Gill Sans MT"/>
                <w:sz w:val="16"/>
                <w:szCs w:val="16"/>
              </w:rPr>
              <w:t xml:space="preserve"> Euro)</w:t>
            </w:r>
            <w:r w:rsidRPr="00C21CF4">
              <w:rPr>
                <w:rFonts w:ascii="Gill Sans MT" w:hAnsi="Gill Sans MT"/>
                <w:sz w:val="16"/>
                <w:szCs w:val="16"/>
              </w:rPr>
              <w:br/>
              <w:t>Schweden (</w:t>
            </w:r>
            <w:r w:rsidR="00FA25B6">
              <w:rPr>
                <w:rFonts w:ascii="Gill Sans MT" w:hAnsi="Gill Sans MT"/>
                <w:sz w:val="16"/>
                <w:szCs w:val="16"/>
              </w:rPr>
              <w:t xml:space="preserve">238 </w:t>
            </w:r>
            <w:r w:rsidRPr="00C21CF4">
              <w:rPr>
                <w:rFonts w:ascii="Gill Sans MT" w:hAnsi="Gill Sans MT"/>
                <w:sz w:val="16"/>
                <w:szCs w:val="16"/>
              </w:rPr>
              <w:t>Euro)</w:t>
            </w:r>
          </w:p>
        </w:tc>
      </w:tr>
    </w:tbl>
    <w:p w:rsidR="00EB6B1C" w:rsidRPr="00770538" w:rsidRDefault="00770538" w:rsidP="00770538">
      <w:pPr>
        <w:pStyle w:val="FiBLmrfooter"/>
      </w:pPr>
      <w:r w:rsidRPr="00B779F4">
        <w:rPr>
          <w:lang w:val="de-CH"/>
        </w:rPr>
        <w:br/>
      </w:r>
      <w:r w:rsidR="00FA25B6">
        <w:t>Quelle: FiBL-AMI-Erhebung 2019</w:t>
      </w:r>
      <w:r w:rsidR="00B8078A" w:rsidRPr="00770538">
        <w:t xml:space="preserve"> </w:t>
      </w:r>
    </w:p>
    <w:p w:rsidR="00EB6B1C" w:rsidRPr="00C21CF4" w:rsidRDefault="00EB6B1C">
      <w:pPr>
        <w:rPr>
          <w:rFonts w:ascii="Palatino Linotype" w:hAnsi="Palatino Linotype"/>
        </w:rPr>
      </w:pPr>
      <w:r w:rsidRPr="00C21CF4">
        <w:br w:type="page"/>
      </w:r>
    </w:p>
    <w:p w:rsidR="00FB31AF" w:rsidRDefault="00FB31AF" w:rsidP="00175AD5">
      <w:pPr>
        <w:pStyle w:val="FiBLmrtitle"/>
        <w:spacing w:before="120" w:after="120"/>
      </w:pPr>
      <w:r w:rsidRPr="00C21CF4">
        <w:lastRenderedPageBreak/>
        <w:t xml:space="preserve">Infografiken </w:t>
      </w:r>
    </w:p>
    <w:p w:rsidR="000641BB" w:rsidRDefault="000641BB" w:rsidP="000641BB">
      <w:pPr>
        <w:pStyle w:val="FiBLmrstandard"/>
      </w:pPr>
      <w:r>
        <w:rPr>
          <w:noProof/>
          <w:lang w:eastAsia="de-CH"/>
        </w:rPr>
        <w:drawing>
          <wp:inline distT="0" distB="0" distL="0" distR="0" wp14:anchorId="335448E4" wp14:editId="437D2267">
            <wp:extent cx="7521043" cy="5658979"/>
            <wp:effectExtent l="16827" t="21273" r="20638" b="20637"/>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World_Organic_Agriculture_2016_Final.jpg"/>
                    <pic:cNvPicPr/>
                  </pic:nvPicPr>
                  <pic:blipFill>
                    <a:blip r:embed="rId23">
                      <a:extLst>
                        <a:ext uri="{28A0092B-C50C-407E-A947-70E740481C1C}">
                          <a14:useLocalDpi xmlns:a14="http://schemas.microsoft.com/office/drawing/2010/main" val="0"/>
                        </a:ext>
                      </a:extLst>
                    </a:blip>
                    <a:stretch>
                      <a:fillRect/>
                    </a:stretch>
                  </pic:blipFill>
                  <pic:spPr>
                    <a:xfrm rot="16200000">
                      <a:off x="0" y="0"/>
                      <a:ext cx="7521043" cy="5658979"/>
                    </a:xfrm>
                    <a:prstGeom prst="rect">
                      <a:avLst/>
                    </a:prstGeom>
                    <a:ln>
                      <a:solidFill>
                        <a:schemeClr val="bg1">
                          <a:lumMod val="85000"/>
                        </a:schemeClr>
                      </a:solidFill>
                    </a:ln>
                  </pic:spPr>
                </pic:pic>
              </a:graphicData>
            </a:graphic>
          </wp:inline>
        </w:drawing>
      </w:r>
      <w:r>
        <w:br w:type="page"/>
      </w:r>
    </w:p>
    <w:p w:rsidR="000641BB" w:rsidRDefault="000641BB" w:rsidP="000641BB">
      <w:pPr>
        <w:pStyle w:val="FiBLmrstandard"/>
      </w:pPr>
      <w:r>
        <w:rPr>
          <w:noProof/>
          <w:lang w:eastAsia="de-CH"/>
        </w:rPr>
        <w:lastRenderedPageBreak/>
        <w:drawing>
          <wp:inline distT="0" distB="0" distL="0" distR="0" wp14:anchorId="329D9F83" wp14:editId="63FD331D">
            <wp:extent cx="7253840" cy="5457929"/>
            <wp:effectExtent l="21590" t="16510" r="26035"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c_Farming_EU_2016_Final.jpg"/>
                    <pic:cNvPicPr/>
                  </pic:nvPicPr>
                  <pic:blipFill>
                    <a:blip r:embed="rId24">
                      <a:extLst>
                        <a:ext uri="{28A0092B-C50C-407E-A947-70E740481C1C}">
                          <a14:useLocalDpi xmlns:a14="http://schemas.microsoft.com/office/drawing/2010/main" val="0"/>
                        </a:ext>
                      </a:extLst>
                    </a:blip>
                    <a:stretch>
                      <a:fillRect/>
                    </a:stretch>
                  </pic:blipFill>
                  <pic:spPr>
                    <a:xfrm rot="16200000">
                      <a:off x="0" y="0"/>
                      <a:ext cx="7253840" cy="5457929"/>
                    </a:xfrm>
                    <a:prstGeom prst="rect">
                      <a:avLst/>
                    </a:prstGeom>
                    <a:ln>
                      <a:solidFill>
                        <a:schemeClr val="bg1">
                          <a:lumMod val="85000"/>
                        </a:schemeClr>
                      </a:solidFill>
                    </a:ln>
                  </pic:spPr>
                </pic:pic>
              </a:graphicData>
            </a:graphic>
          </wp:inline>
        </w:drawing>
      </w:r>
    </w:p>
    <w:p w:rsidR="00FA25B6" w:rsidRDefault="00FA25B6" w:rsidP="00EB6B1C">
      <w:pPr>
        <w:pStyle w:val="FiBLmrstandard"/>
      </w:pPr>
    </w:p>
    <w:p w:rsidR="00FA25B6" w:rsidRDefault="00175AD5" w:rsidP="00EB6B1C">
      <w:pPr>
        <w:pStyle w:val="FiBLmrstandard"/>
      </w:pPr>
      <w:r>
        <w:rPr>
          <w:noProof/>
          <w:lang w:eastAsia="de-CH"/>
        </w:rPr>
        <w:lastRenderedPageBreak/>
        <w:drawing>
          <wp:inline distT="0" distB="0" distL="0" distR="0">
            <wp:extent cx="5178973" cy="3646490"/>
            <wp:effectExtent l="19050" t="19050" r="222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rea-germa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178973" cy="3646490"/>
                    </a:xfrm>
                    <a:prstGeom prst="rect">
                      <a:avLst/>
                    </a:prstGeom>
                    <a:ln>
                      <a:solidFill>
                        <a:schemeClr val="bg1">
                          <a:lumMod val="85000"/>
                        </a:schemeClr>
                      </a:solidFill>
                    </a:ln>
                  </pic:spPr>
                </pic:pic>
              </a:graphicData>
            </a:graphic>
          </wp:inline>
        </w:drawing>
      </w:r>
    </w:p>
    <w:p w:rsidR="00566983" w:rsidRPr="00C21CF4" w:rsidRDefault="00175AD5" w:rsidP="00EB6B1C">
      <w:pPr>
        <w:pStyle w:val="FiBLmrstandard"/>
      </w:pPr>
      <w:r>
        <w:rPr>
          <w:noProof/>
          <w:lang w:eastAsia="de-CH"/>
        </w:rPr>
        <w:drawing>
          <wp:inline distT="0" distB="0" distL="0" distR="0">
            <wp:extent cx="5181600" cy="3726445"/>
            <wp:effectExtent l="19050" t="19050" r="19050"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market-german.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88111" cy="3731128"/>
                    </a:xfrm>
                    <a:prstGeom prst="rect">
                      <a:avLst/>
                    </a:prstGeom>
                    <a:ln>
                      <a:solidFill>
                        <a:schemeClr val="bg1">
                          <a:lumMod val="85000"/>
                        </a:schemeClr>
                      </a:solidFill>
                    </a:ln>
                  </pic:spPr>
                </pic:pic>
              </a:graphicData>
            </a:graphic>
          </wp:inline>
        </w:drawing>
      </w:r>
    </w:p>
    <w:sectPr w:rsidR="00566983" w:rsidRPr="00C21CF4" w:rsidSect="00232993">
      <w:footerReference w:type="default" r:id="rId2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2A" w:rsidRDefault="00AB4B2A" w:rsidP="00F53AA9">
      <w:pPr>
        <w:spacing w:after="0" w:line="240" w:lineRule="auto"/>
      </w:pPr>
      <w:r>
        <w:separator/>
      </w:r>
    </w:p>
  </w:endnote>
  <w:endnote w:type="continuationSeparator" w:id="0">
    <w:p w:rsidR="00AB4B2A" w:rsidRDefault="00AB4B2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232993">
      <w:trPr>
        <w:trHeight w:val="508"/>
      </w:trPr>
      <w:tc>
        <w:tcPr>
          <w:tcW w:w="7656" w:type="dxa"/>
        </w:tcPr>
        <w:p w:rsidR="008A6B50" w:rsidRPr="00B779F4" w:rsidRDefault="004E26A3" w:rsidP="00DA14CE">
          <w:pPr>
            <w:pStyle w:val="FiBLmrfooter"/>
            <w:rPr>
              <w:lang w:val="de-CH"/>
            </w:rPr>
          </w:pPr>
          <w:r w:rsidRPr="00B779F4">
            <w:rPr>
              <w:lang w:val="de-CH"/>
            </w:rPr>
            <w:t>Forschungsinstitut für biologischen Landbau</w:t>
          </w:r>
          <w:r w:rsidR="00F73377" w:rsidRPr="00B779F4">
            <w:rPr>
              <w:lang w:val="de-CH"/>
            </w:rPr>
            <w:t xml:space="preserve"> FiBL | Ackerstrasse 113 | Postfach 219 </w:t>
          </w:r>
        </w:p>
        <w:p w:rsidR="00F73377" w:rsidRPr="00B779F4" w:rsidRDefault="00F73377" w:rsidP="004E26A3">
          <w:pPr>
            <w:pStyle w:val="FiBLmrfooter"/>
            <w:rPr>
              <w:lang w:val="de-CH"/>
            </w:rPr>
          </w:pPr>
          <w:r w:rsidRPr="00B779F4">
            <w:rPr>
              <w:lang w:val="de-CH"/>
            </w:rPr>
            <w:t xml:space="preserve">5070 Frick | </w:t>
          </w:r>
          <w:r w:rsidR="004E26A3" w:rsidRPr="00B779F4">
            <w:rPr>
              <w:lang w:val="de-CH"/>
            </w:rPr>
            <w:t>Schweiz</w:t>
          </w:r>
          <w:r w:rsidR="00CF6598" w:rsidRPr="00B779F4">
            <w:rPr>
              <w:lang w:val="de-CH"/>
            </w:rPr>
            <w:t xml:space="preserve"> | </w:t>
          </w:r>
          <w:r w:rsidR="004E26A3" w:rsidRPr="00B779F4">
            <w:rPr>
              <w:lang w:val="de-CH"/>
            </w:rPr>
            <w:t>Tel.</w:t>
          </w:r>
          <w:r w:rsidRPr="00B779F4">
            <w:rPr>
              <w:lang w:val="de-CH"/>
            </w:rPr>
            <w:t xml:space="preserve"> +41</w:t>
          </w:r>
          <w:r w:rsidR="00CF6598" w:rsidRPr="00B779F4">
            <w:rPr>
              <w:lang w:val="de-CH"/>
            </w:rPr>
            <w:t xml:space="preserve"> </w:t>
          </w:r>
          <w:r w:rsidRPr="00B779F4">
            <w:rPr>
              <w:lang w:val="de-CH"/>
            </w:rPr>
            <w:t xml:space="preserve">62 865 72 72 | </w:t>
          </w:r>
          <w:hyperlink r:id="rId1">
            <w:r w:rsidRPr="00B779F4">
              <w:rPr>
                <w:lang w:val="de-CH"/>
              </w:rPr>
              <w:t xml:space="preserve">info.suisse@fibl.org </w:t>
            </w:r>
          </w:hyperlink>
          <w:r w:rsidRPr="00B779F4">
            <w:rPr>
              <w:lang w:val="de-CH"/>
            </w:rPr>
            <w:t xml:space="preserve">| </w:t>
          </w:r>
          <w:hyperlink r:id="rId2">
            <w:r w:rsidRPr="00B779F4">
              <w:rPr>
                <w:lang w:val="de-CH"/>
              </w:rPr>
              <w:t>www.fibl.org</w:t>
            </w:r>
          </w:hyperlink>
        </w:p>
      </w:tc>
      <w:tc>
        <w:tcPr>
          <w:tcW w:w="407" w:type="dxa"/>
        </w:tcPr>
        <w:p w:rsidR="00F73377" w:rsidRPr="00B779F4" w:rsidRDefault="00F73377" w:rsidP="00DA14CE">
          <w:pPr>
            <w:pStyle w:val="FiBLmrpagenumber"/>
            <w:rPr>
              <w:lang w:val="de-CH"/>
            </w:rPr>
          </w:pPr>
        </w:p>
      </w:tc>
    </w:tr>
  </w:tbl>
  <w:p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1F35B2" w:rsidTr="00F1030B">
      <w:trPr>
        <w:trHeight w:val="510"/>
      </w:trPr>
      <w:tc>
        <w:tcPr>
          <w:tcW w:w="4923" w:type="pct"/>
        </w:tcPr>
        <w:p w:rsidR="00DA14CE" w:rsidRPr="001F35B2" w:rsidRDefault="00D311F3" w:rsidP="00A0635F">
          <w:pPr>
            <w:pStyle w:val="FiBLmrfooter"/>
            <w:rPr>
              <w:lang w:val="de-CH"/>
            </w:rPr>
          </w:pPr>
          <w:r w:rsidRPr="00D311F3">
            <w:t>Medienmitteilung vom</w:t>
          </w:r>
          <w:r w:rsidR="00181469">
            <w:t xml:space="preserve"> </w:t>
          </w:r>
          <w:r w:rsidRPr="00D311F3">
            <w:t>1</w:t>
          </w:r>
          <w:r w:rsidR="00A80F3A">
            <w:t>3</w:t>
          </w:r>
          <w:r w:rsidRPr="00D311F3">
            <w:t>. Februar 201</w:t>
          </w:r>
          <w:r w:rsidR="00A80F3A">
            <w:t>9</w:t>
          </w:r>
        </w:p>
      </w:tc>
      <w:tc>
        <w:tcPr>
          <w:tcW w:w="77" w:type="pct"/>
        </w:tcPr>
        <w:p w:rsidR="00DA14CE" w:rsidRPr="001F35B2" w:rsidRDefault="00DA14CE" w:rsidP="00DA14CE">
          <w:pPr>
            <w:pStyle w:val="FiBLmrpagenumber"/>
            <w:rPr>
              <w:lang w:val="de-CH"/>
            </w:rPr>
          </w:pPr>
          <w:r w:rsidRPr="001F35B2">
            <w:rPr>
              <w:lang w:val="de-CH"/>
            </w:rPr>
            <w:fldChar w:fldCharType="begin"/>
          </w:r>
          <w:r w:rsidRPr="001F35B2">
            <w:rPr>
              <w:lang w:val="de-CH"/>
            </w:rPr>
            <w:instrText xml:space="preserve"> PAGE   \* MERGEFORMAT </w:instrText>
          </w:r>
          <w:r w:rsidRPr="001F35B2">
            <w:rPr>
              <w:lang w:val="de-CH"/>
            </w:rPr>
            <w:fldChar w:fldCharType="separate"/>
          </w:r>
          <w:r w:rsidR="00F6560B">
            <w:rPr>
              <w:noProof/>
              <w:lang w:val="de-CH"/>
            </w:rPr>
            <w:t>4</w:t>
          </w:r>
          <w:r w:rsidRPr="001F35B2">
            <w:rPr>
              <w:lang w:val="de-CH"/>
            </w:rPr>
            <w:fldChar w:fldCharType="end"/>
          </w:r>
        </w:p>
      </w:tc>
    </w:tr>
  </w:tbl>
  <w:p w:rsidR="00DA14CE" w:rsidRPr="001F35B2"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2A" w:rsidRDefault="00AB4B2A" w:rsidP="00F53AA9">
      <w:pPr>
        <w:spacing w:after="0" w:line="240" w:lineRule="auto"/>
      </w:pPr>
      <w:r>
        <w:separator/>
      </w:r>
    </w:p>
  </w:footnote>
  <w:footnote w:type="continuationSeparator" w:id="0">
    <w:p w:rsidR="00AB4B2A" w:rsidRDefault="00AB4B2A"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232993">
      <w:trPr>
        <w:trHeight w:val="599"/>
      </w:trPr>
      <w:tc>
        <w:tcPr>
          <w:tcW w:w="1616" w:type="dxa"/>
        </w:tcPr>
        <w:p w:rsidR="007666E3" w:rsidRPr="00C725B7" w:rsidRDefault="007666E3" w:rsidP="007666E3">
          <w:pPr>
            <w:pStyle w:val="FiBLmrheader"/>
          </w:pPr>
          <w:r>
            <w:rPr>
              <w:noProof/>
              <w:lang w:eastAsia="de-CH"/>
            </w:rPr>
            <w:drawing>
              <wp:inline distT="0" distB="0" distL="0" distR="0" wp14:anchorId="43C04B74" wp14:editId="431B8120">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34B208CC"/>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yNLIwN7E0Nbe0MDFR0lEKTi0uzszPAykwNKgFABXW4D4tAAAA"/>
  </w:docVars>
  <w:rsids>
    <w:rsidRoot w:val="008D48AD"/>
    <w:rsid w:val="00002042"/>
    <w:rsid w:val="00007999"/>
    <w:rsid w:val="00022073"/>
    <w:rsid w:val="0003114A"/>
    <w:rsid w:val="00043DF8"/>
    <w:rsid w:val="000641BB"/>
    <w:rsid w:val="00077078"/>
    <w:rsid w:val="0008157D"/>
    <w:rsid w:val="000839A8"/>
    <w:rsid w:val="000912D9"/>
    <w:rsid w:val="00097E74"/>
    <w:rsid w:val="000A0CF7"/>
    <w:rsid w:val="000A3B13"/>
    <w:rsid w:val="000B0DFD"/>
    <w:rsid w:val="000B5156"/>
    <w:rsid w:val="000C429D"/>
    <w:rsid w:val="000C7401"/>
    <w:rsid w:val="000C75D0"/>
    <w:rsid w:val="000C75FB"/>
    <w:rsid w:val="000D5714"/>
    <w:rsid w:val="000D7A27"/>
    <w:rsid w:val="0010418E"/>
    <w:rsid w:val="001050BE"/>
    <w:rsid w:val="00105656"/>
    <w:rsid w:val="00107221"/>
    <w:rsid w:val="00125125"/>
    <w:rsid w:val="001354F8"/>
    <w:rsid w:val="001355DA"/>
    <w:rsid w:val="00146772"/>
    <w:rsid w:val="0017068A"/>
    <w:rsid w:val="0017595D"/>
    <w:rsid w:val="00175AD5"/>
    <w:rsid w:val="0018097B"/>
    <w:rsid w:val="00181469"/>
    <w:rsid w:val="001819A1"/>
    <w:rsid w:val="0018434A"/>
    <w:rsid w:val="00195EC7"/>
    <w:rsid w:val="001B3DB5"/>
    <w:rsid w:val="001B7823"/>
    <w:rsid w:val="001E1C11"/>
    <w:rsid w:val="001E6585"/>
    <w:rsid w:val="001F35B2"/>
    <w:rsid w:val="001F529F"/>
    <w:rsid w:val="00211862"/>
    <w:rsid w:val="002142F8"/>
    <w:rsid w:val="00214908"/>
    <w:rsid w:val="00217211"/>
    <w:rsid w:val="0021744A"/>
    <w:rsid w:val="002203DD"/>
    <w:rsid w:val="0022639B"/>
    <w:rsid w:val="00230924"/>
    <w:rsid w:val="00232993"/>
    <w:rsid w:val="00245F21"/>
    <w:rsid w:val="00254F8D"/>
    <w:rsid w:val="00272E08"/>
    <w:rsid w:val="00280674"/>
    <w:rsid w:val="002837D9"/>
    <w:rsid w:val="00291FFE"/>
    <w:rsid w:val="002925F1"/>
    <w:rsid w:val="002B1D53"/>
    <w:rsid w:val="002B7322"/>
    <w:rsid w:val="002C0814"/>
    <w:rsid w:val="002C3506"/>
    <w:rsid w:val="002D757B"/>
    <w:rsid w:val="002D75D5"/>
    <w:rsid w:val="002D7D78"/>
    <w:rsid w:val="002E730F"/>
    <w:rsid w:val="002E78C0"/>
    <w:rsid w:val="002F1625"/>
    <w:rsid w:val="002F4992"/>
    <w:rsid w:val="002F586A"/>
    <w:rsid w:val="0030119E"/>
    <w:rsid w:val="00304682"/>
    <w:rsid w:val="00306A70"/>
    <w:rsid w:val="00313532"/>
    <w:rsid w:val="003150C5"/>
    <w:rsid w:val="003176F7"/>
    <w:rsid w:val="00344B27"/>
    <w:rsid w:val="003810FD"/>
    <w:rsid w:val="003907CE"/>
    <w:rsid w:val="003A1BA8"/>
    <w:rsid w:val="003A4191"/>
    <w:rsid w:val="003C1747"/>
    <w:rsid w:val="003C6406"/>
    <w:rsid w:val="003D1138"/>
    <w:rsid w:val="003F7D09"/>
    <w:rsid w:val="0041671F"/>
    <w:rsid w:val="00416BA5"/>
    <w:rsid w:val="00423C89"/>
    <w:rsid w:val="00426F16"/>
    <w:rsid w:val="00435155"/>
    <w:rsid w:val="0044286A"/>
    <w:rsid w:val="00446B90"/>
    <w:rsid w:val="00450F2F"/>
    <w:rsid w:val="00453BD9"/>
    <w:rsid w:val="004570C7"/>
    <w:rsid w:val="0045715C"/>
    <w:rsid w:val="00465871"/>
    <w:rsid w:val="0046602F"/>
    <w:rsid w:val="00466809"/>
    <w:rsid w:val="00472118"/>
    <w:rsid w:val="004762FE"/>
    <w:rsid w:val="004807B1"/>
    <w:rsid w:val="00480A91"/>
    <w:rsid w:val="004C4067"/>
    <w:rsid w:val="004D3FEF"/>
    <w:rsid w:val="004D6428"/>
    <w:rsid w:val="004E26A3"/>
    <w:rsid w:val="004F613F"/>
    <w:rsid w:val="005023AF"/>
    <w:rsid w:val="00527CF1"/>
    <w:rsid w:val="00537C2B"/>
    <w:rsid w:val="00540B0E"/>
    <w:rsid w:val="00540DAE"/>
    <w:rsid w:val="00544EA9"/>
    <w:rsid w:val="00555C7D"/>
    <w:rsid w:val="00566983"/>
    <w:rsid w:val="00567811"/>
    <w:rsid w:val="00571E3B"/>
    <w:rsid w:val="00580C94"/>
    <w:rsid w:val="00582FE9"/>
    <w:rsid w:val="00583E40"/>
    <w:rsid w:val="00584129"/>
    <w:rsid w:val="005867AD"/>
    <w:rsid w:val="005909ED"/>
    <w:rsid w:val="005938C8"/>
    <w:rsid w:val="0059401F"/>
    <w:rsid w:val="00595DB8"/>
    <w:rsid w:val="005B675F"/>
    <w:rsid w:val="005C344D"/>
    <w:rsid w:val="005D0989"/>
    <w:rsid w:val="005D65C1"/>
    <w:rsid w:val="005D7265"/>
    <w:rsid w:val="005F1359"/>
    <w:rsid w:val="005F460D"/>
    <w:rsid w:val="005F4CAA"/>
    <w:rsid w:val="005F5A7E"/>
    <w:rsid w:val="0060078C"/>
    <w:rsid w:val="006063DB"/>
    <w:rsid w:val="00613117"/>
    <w:rsid w:val="00623F17"/>
    <w:rsid w:val="00633F07"/>
    <w:rsid w:val="006410F4"/>
    <w:rsid w:val="00646E4A"/>
    <w:rsid w:val="006477C1"/>
    <w:rsid w:val="006569B3"/>
    <w:rsid w:val="00661678"/>
    <w:rsid w:val="0066529D"/>
    <w:rsid w:val="00681E9E"/>
    <w:rsid w:val="00686D1E"/>
    <w:rsid w:val="00697BB6"/>
    <w:rsid w:val="006C0026"/>
    <w:rsid w:val="006C6F92"/>
    <w:rsid w:val="006D0FF6"/>
    <w:rsid w:val="006D4D11"/>
    <w:rsid w:val="006E612A"/>
    <w:rsid w:val="006E7D72"/>
    <w:rsid w:val="00712776"/>
    <w:rsid w:val="0071726B"/>
    <w:rsid w:val="00727486"/>
    <w:rsid w:val="007322ED"/>
    <w:rsid w:val="00736F11"/>
    <w:rsid w:val="00754508"/>
    <w:rsid w:val="00764E69"/>
    <w:rsid w:val="00766081"/>
    <w:rsid w:val="007666E3"/>
    <w:rsid w:val="00770538"/>
    <w:rsid w:val="00783BE6"/>
    <w:rsid w:val="0078787E"/>
    <w:rsid w:val="00793238"/>
    <w:rsid w:val="007A051D"/>
    <w:rsid w:val="007A0D20"/>
    <w:rsid w:val="007C03B3"/>
    <w:rsid w:val="007C4B79"/>
    <w:rsid w:val="007C6110"/>
    <w:rsid w:val="007C7E19"/>
    <w:rsid w:val="007F4019"/>
    <w:rsid w:val="00802525"/>
    <w:rsid w:val="00806A24"/>
    <w:rsid w:val="008100C8"/>
    <w:rsid w:val="008160BA"/>
    <w:rsid w:val="00817B94"/>
    <w:rsid w:val="00823157"/>
    <w:rsid w:val="008325CB"/>
    <w:rsid w:val="008370EE"/>
    <w:rsid w:val="008417D3"/>
    <w:rsid w:val="00861053"/>
    <w:rsid w:val="00866E96"/>
    <w:rsid w:val="00872371"/>
    <w:rsid w:val="008A3482"/>
    <w:rsid w:val="008A5E8C"/>
    <w:rsid w:val="008A6B50"/>
    <w:rsid w:val="008B7311"/>
    <w:rsid w:val="008D48AD"/>
    <w:rsid w:val="008E7F9F"/>
    <w:rsid w:val="00910553"/>
    <w:rsid w:val="009109C1"/>
    <w:rsid w:val="00912F05"/>
    <w:rsid w:val="00937648"/>
    <w:rsid w:val="0094480E"/>
    <w:rsid w:val="009669B5"/>
    <w:rsid w:val="009767BF"/>
    <w:rsid w:val="00977D13"/>
    <w:rsid w:val="009800DE"/>
    <w:rsid w:val="00981742"/>
    <w:rsid w:val="00982A03"/>
    <w:rsid w:val="00986D82"/>
    <w:rsid w:val="00986F71"/>
    <w:rsid w:val="009A52C4"/>
    <w:rsid w:val="009B0C59"/>
    <w:rsid w:val="009C0B90"/>
    <w:rsid w:val="009C0F61"/>
    <w:rsid w:val="009C7E54"/>
    <w:rsid w:val="009E747E"/>
    <w:rsid w:val="009F1AD7"/>
    <w:rsid w:val="009F306E"/>
    <w:rsid w:val="00A033E7"/>
    <w:rsid w:val="00A04F66"/>
    <w:rsid w:val="00A056D1"/>
    <w:rsid w:val="00A0635F"/>
    <w:rsid w:val="00A104A6"/>
    <w:rsid w:val="00A135C6"/>
    <w:rsid w:val="00A32598"/>
    <w:rsid w:val="00A365ED"/>
    <w:rsid w:val="00A53402"/>
    <w:rsid w:val="00A54AC7"/>
    <w:rsid w:val="00A57050"/>
    <w:rsid w:val="00A624F0"/>
    <w:rsid w:val="00A632FC"/>
    <w:rsid w:val="00A63717"/>
    <w:rsid w:val="00A64025"/>
    <w:rsid w:val="00A80F3A"/>
    <w:rsid w:val="00A83320"/>
    <w:rsid w:val="00A84D76"/>
    <w:rsid w:val="00AA295A"/>
    <w:rsid w:val="00AB4B2A"/>
    <w:rsid w:val="00AC6487"/>
    <w:rsid w:val="00AD1C24"/>
    <w:rsid w:val="00AE0BFC"/>
    <w:rsid w:val="00AF3612"/>
    <w:rsid w:val="00B00215"/>
    <w:rsid w:val="00B07CCE"/>
    <w:rsid w:val="00B116CC"/>
    <w:rsid w:val="00B11B61"/>
    <w:rsid w:val="00B12B9B"/>
    <w:rsid w:val="00B15BC3"/>
    <w:rsid w:val="00B169A5"/>
    <w:rsid w:val="00B23022"/>
    <w:rsid w:val="00B23768"/>
    <w:rsid w:val="00B25F0B"/>
    <w:rsid w:val="00B273DE"/>
    <w:rsid w:val="00B44024"/>
    <w:rsid w:val="00B61443"/>
    <w:rsid w:val="00B63C88"/>
    <w:rsid w:val="00B779F4"/>
    <w:rsid w:val="00B8078A"/>
    <w:rsid w:val="00B90724"/>
    <w:rsid w:val="00BA73AE"/>
    <w:rsid w:val="00BB058F"/>
    <w:rsid w:val="00BB6309"/>
    <w:rsid w:val="00BB6809"/>
    <w:rsid w:val="00BB7AF8"/>
    <w:rsid w:val="00BC05AC"/>
    <w:rsid w:val="00BC1BE7"/>
    <w:rsid w:val="00BC5D34"/>
    <w:rsid w:val="00BC5FC0"/>
    <w:rsid w:val="00BC69C8"/>
    <w:rsid w:val="00C10742"/>
    <w:rsid w:val="00C1118E"/>
    <w:rsid w:val="00C14AA4"/>
    <w:rsid w:val="00C21CF4"/>
    <w:rsid w:val="00C226B5"/>
    <w:rsid w:val="00C329AC"/>
    <w:rsid w:val="00C3309F"/>
    <w:rsid w:val="00C4331B"/>
    <w:rsid w:val="00C50896"/>
    <w:rsid w:val="00C54E7B"/>
    <w:rsid w:val="00C71277"/>
    <w:rsid w:val="00C725B7"/>
    <w:rsid w:val="00C73E52"/>
    <w:rsid w:val="00C8256D"/>
    <w:rsid w:val="00C92DC4"/>
    <w:rsid w:val="00C93A6C"/>
    <w:rsid w:val="00CC13F5"/>
    <w:rsid w:val="00CC3D03"/>
    <w:rsid w:val="00CC46FE"/>
    <w:rsid w:val="00CD4B01"/>
    <w:rsid w:val="00CE1A38"/>
    <w:rsid w:val="00CE3525"/>
    <w:rsid w:val="00CE5EA1"/>
    <w:rsid w:val="00CE703A"/>
    <w:rsid w:val="00CF4CEC"/>
    <w:rsid w:val="00CF6598"/>
    <w:rsid w:val="00D04CCE"/>
    <w:rsid w:val="00D06A9E"/>
    <w:rsid w:val="00D142E7"/>
    <w:rsid w:val="00D20589"/>
    <w:rsid w:val="00D25E6E"/>
    <w:rsid w:val="00D301BD"/>
    <w:rsid w:val="00D311F3"/>
    <w:rsid w:val="00D32E71"/>
    <w:rsid w:val="00D35602"/>
    <w:rsid w:val="00D41E23"/>
    <w:rsid w:val="00D5665E"/>
    <w:rsid w:val="00D61A9A"/>
    <w:rsid w:val="00D7727C"/>
    <w:rsid w:val="00D82FEC"/>
    <w:rsid w:val="00D84B91"/>
    <w:rsid w:val="00D87997"/>
    <w:rsid w:val="00DA14CE"/>
    <w:rsid w:val="00DA3FA8"/>
    <w:rsid w:val="00DA4CF7"/>
    <w:rsid w:val="00DA5D86"/>
    <w:rsid w:val="00DA7216"/>
    <w:rsid w:val="00DC15AC"/>
    <w:rsid w:val="00DD0000"/>
    <w:rsid w:val="00DD4377"/>
    <w:rsid w:val="00DE44EA"/>
    <w:rsid w:val="00DF2620"/>
    <w:rsid w:val="00E06042"/>
    <w:rsid w:val="00E26382"/>
    <w:rsid w:val="00E32B51"/>
    <w:rsid w:val="00E34E1A"/>
    <w:rsid w:val="00E433A3"/>
    <w:rsid w:val="00E451EE"/>
    <w:rsid w:val="00E64975"/>
    <w:rsid w:val="00E71BBC"/>
    <w:rsid w:val="00E71FBF"/>
    <w:rsid w:val="00E937E8"/>
    <w:rsid w:val="00EB6B1C"/>
    <w:rsid w:val="00EC3302"/>
    <w:rsid w:val="00ED0946"/>
    <w:rsid w:val="00EF1BCC"/>
    <w:rsid w:val="00EF726D"/>
    <w:rsid w:val="00F04498"/>
    <w:rsid w:val="00F07B60"/>
    <w:rsid w:val="00F1030B"/>
    <w:rsid w:val="00F142B2"/>
    <w:rsid w:val="00F21C5E"/>
    <w:rsid w:val="00F463DB"/>
    <w:rsid w:val="00F53AA9"/>
    <w:rsid w:val="00F61C44"/>
    <w:rsid w:val="00F620F0"/>
    <w:rsid w:val="00F6560B"/>
    <w:rsid w:val="00F6745D"/>
    <w:rsid w:val="00F678FA"/>
    <w:rsid w:val="00F73377"/>
    <w:rsid w:val="00FA0C71"/>
    <w:rsid w:val="00FA25B6"/>
    <w:rsid w:val="00FA28EF"/>
    <w:rsid w:val="00FB31AF"/>
    <w:rsid w:val="00FB36B7"/>
    <w:rsid w:val="00FC7C7B"/>
    <w:rsid w:val="00FD4EE6"/>
    <w:rsid w:val="00FD5152"/>
    <w:rsid w:val="00FD55BE"/>
    <w:rsid w:val="00FF744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CA1C884-857A-4EA8-8568-204A296B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C21CF4"/>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table" w:styleId="HelleSchattierung-Akzent1">
    <w:name w:val="Light Shading Accent 1"/>
    <w:basedOn w:val="NormaleTabelle"/>
    <w:uiPriority w:val="60"/>
    <w:rsid w:val="00697BB6"/>
    <w:pPr>
      <w:spacing w:after="0" w:line="240" w:lineRule="auto"/>
    </w:pPr>
    <w:tblPr>
      <w:tblStyleRowBandSize w:val="1"/>
      <w:tblStyleColBandSize w:val="1"/>
      <w:tblBorders>
        <w:top w:val="single" w:sz="8" w:space="0" w:color="2F6C86"/>
        <w:bottom w:val="single" w:sz="8" w:space="0" w:color="2F6C86"/>
      </w:tblBorders>
    </w:tblPr>
    <w:tblStylePr w:type="firstRow">
      <w:pPr>
        <w:spacing w:before="0" w:after="0" w:line="240" w:lineRule="auto"/>
      </w:pPr>
      <w:rPr>
        <w:b/>
        <w:bCs/>
      </w:rPr>
      <w:tblPr/>
      <w:tcPr>
        <w:tcBorders>
          <w:top w:val="single" w:sz="8" w:space="0" w:color="2F6C86"/>
          <w:left w:val="nil"/>
          <w:bottom w:val="single" w:sz="8" w:space="0" w:color="2F6C86"/>
          <w:right w:val="nil"/>
          <w:insideH w:val="nil"/>
          <w:insideV w:val="nil"/>
        </w:tcBorders>
      </w:tcPr>
    </w:tblStylePr>
    <w:tblStylePr w:type="lastRow">
      <w:pPr>
        <w:spacing w:before="0" w:after="0" w:line="240" w:lineRule="auto"/>
      </w:pPr>
      <w:rPr>
        <w:b/>
        <w:bCs/>
      </w:rPr>
      <w:tblPr/>
      <w:tcPr>
        <w:tcBorders>
          <w:top w:val="single" w:sz="8" w:space="0" w:color="2F6C86"/>
          <w:left w:val="nil"/>
          <w:bottom w:val="single" w:sz="8" w:space="0" w:color="2F6C86"/>
          <w:right w:val="nil"/>
          <w:insideH w:val="nil"/>
          <w:insideV w:val="nil"/>
        </w:tcBorders>
      </w:tcPr>
    </w:tblStylePr>
    <w:tblStylePr w:type="firstCol">
      <w:rPr>
        <w:b/>
        <w:bCs/>
      </w:rPr>
    </w:tblStylePr>
    <w:tblStylePr w:type="lastCol">
      <w:rPr>
        <w:b/>
        <w:bCs/>
      </w:rPr>
    </w:tblStylePr>
    <w:tblStylePr w:type="band1Vert">
      <w:tblPr/>
      <w:tcPr>
        <w:shd w:val="clear" w:color="auto" w:fill="BEDBE8"/>
      </w:tcPr>
    </w:tblStylePr>
    <w:tblStylePr w:type="band1Horz">
      <w:tblPr/>
      <w:tcPr>
        <w:shd w:val="clear" w:color="auto" w:fill="BEDB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s://statistics.fibl.org"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ganic-world.net/yearbook/yearbook-2019/infographics.html"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ami-informiert.de" TargetMode="External"/><Relationship Id="rId20" Type="http://schemas.openxmlformats.org/officeDocument/2006/relationships/hyperlink" Target="http://www.fibl.org/en/medi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mailto:diana.schaack@ami-informiert.de" TargetMode="External"/><Relationship Id="rId23" Type="http://schemas.openxmlformats.org/officeDocument/2006/relationships/image" Target="media/image2.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iofach.de/de/events/vortrag/der-europaeische-markt-fuer-bio-lebensmittel-daten-aus-2018/6917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 TargetMode="External"/><Relationship Id="rId22" Type="http://schemas.openxmlformats.org/officeDocument/2006/relationships/hyperlink" Target="https://www.youtube.com/watch?v=Zs-dCLDUbQ0"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2.xml><?xml version="1.0" encoding="utf-8"?>
<ds:datastoreItem xmlns:ds="http://schemas.openxmlformats.org/officeDocument/2006/customXml" ds:itemID="{92ABA549-99F8-4875-885B-68DEBC2BF4A4}">
  <ds:schemaRefs>
    <ds:schemaRef ds:uri="http://purl.org/dc/dcmitype/"/>
    <ds:schemaRef ds:uri="dd18740c-b141-4d05-9751-e9f3dcf7e76f"/>
    <ds:schemaRef ds:uri="http://www.w3.org/XML/1998/namespace"/>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926ccd4c-651f-4ccc-af87-3950eef9fdad"/>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73C42EF3-CB1F-4D35-BA7B-C53C1456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A4FDD-5DE1-4836-904F-7EB11AB9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1315</Words>
  <Characters>8288</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Bio in Europa legt weiter zu</vt:lpstr>
      <vt:lpstr>Template for creating a media release (only members of the Communication group)</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"Bio in Europa wächst weiter"</dc:title>
  <dc:creator>FiBL</dc:creator>
  <cp:lastModifiedBy>Basler Andreas</cp:lastModifiedBy>
  <cp:revision>15</cp:revision>
  <cp:lastPrinted>2019-02-12T15:29:00Z</cp:lastPrinted>
  <dcterms:created xsi:type="dcterms:W3CDTF">2019-02-07T11:44:00Z</dcterms:created>
  <dcterms:modified xsi:type="dcterms:W3CDTF">2019-02-12T15:29:00Z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