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A6" w:rsidRDefault="006666A6" w:rsidP="00CA0E00">
      <w:pPr>
        <w:pStyle w:val="Fibl18"/>
        <w:framePr w:wrap="around" w:y="3046"/>
      </w:pPr>
      <w:r>
        <w:t>Medienmitteilung</w:t>
      </w:r>
    </w:p>
    <w:p w:rsidR="006666A6" w:rsidRDefault="006666A6" w:rsidP="00C35894">
      <w:pPr>
        <w:pStyle w:val="Fiblueberschrift"/>
        <w:sectPr w:rsidR="006666A6" w:rsidSect="00342AAA">
          <w:headerReference w:type="default" r:id="rId10"/>
          <w:footerReference w:type="default" r:id="rId11"/>
          <w:headerReference w:type="first" r:id="rId12"/>
          <w:footerReference w:type="first" r:id="rId13"/>
          <w:pgSz w:w="11906" w:h="16838" w:code="9"/>
          <w:pgMar w:top="3759" w:right="851" w:bottom="2778" w:left="2098" w:header="720" w:footer="720" w:gutter="0"/>
          <w:paperSrc w:first="2" w:other="11"/>
          <w:cols w:space="720"/>
          <w:titlePg/>
        </w:sectPr>
      </w:pPr>
    </w:p>
    <w:p w:rsidR="00C35894" w:rsidRPr="00B87436" w:rsidRDefault="00C35894" w:rsidP="00C35894">
      <w:pPr>
        <w:pStyle w:val="Fiblueberschrift"/>
        <w:rPr>
          <w:lang w:val="de-CH"/>
        </w:rPr>
      </w:pPr>
      <w:r>
        <w:rPr>
          <w:lang w:val="de-CH"/>
        </w:rPr>
        <w:lastRenderedPageBreak/>
        <w:t xml:space="preserve">Klare Unterschiede in der Qualität </w:t>
      </w:r>
      <w:r w:rsidR="00185063">
        <w:rPr>
          <w:lang w:val="de-CH"/>
        </w:rPr>
        <w:t xml:space="preserve">von Milch und Fleisch </w:t>
      </w:r>
      <w:r w:rsidR="00C96DD7">
        <w:rPr>
          <w:lang w:val="de-CH"/>
        </w:rPr>
        <w:t xml:space="preserve">zwischen </w:t>
      </w:r>
      <w:r>
        <w:rPr>
          <w:lang w:val="de-CH"/>
        </w:rPr>
        <w:t xml:space="preserve">biologischer und konventioneller Produktion </w:t>
      </w:r>
    </w:p>
    <w:p w:rsidR="00C35894" w:rsidRPr="00C35894" w:rsidRDefault="00F830DB" w:rsidP="001B6565">
      <w:pPr>
        <w:pStyle w:val="Fiblueberschriftunterzeile"/>
      </w:pPr>
      <w:r>
        <w:t xml:space="preserve">Ein von </w:t>
      </w:r>
      <w:r w:rsidR="00C35894" w:rsidRPr="00C35894">
        <w:t>der Newcastle Un</w:t>
      </w:r>
      <w:r w:rsidR="00C70471">
        <w:t xml:space="preserve">iversity geführtes Expertenteam hat </w:t>
      </w:r>
      <w:r w:rsidR="00C35894" w:rsidRPr="00C35894">
        <w:t>gezeigt, dass sowohl Biomilch als auch Biofleisch um 50 % mehr gesundheitsfördernde Omega-3-Fettsäuren enthalten als konventionelle Produkte. Das FiB</w:t>
      </w:r>
      <w:r w:rsidR="00C35894">
        <w:t xml:space="preserve">L war an </w:t>
      </w:r>
      <w:r w:rsidR="005F166E">
        <w:t>den</w:t>
      </w:r>
      <w:r w:rsidR="00C35894">
        <w:t xml:space="preserve"> Studie</w:t>
      </w:r>
      <w:r w:rsidR="005F166E">
        <w:t>n</w:t>
      </w:r>
      <w:r w:rsidR="00C35894">
        <w:t xml:space="preserve"> beteiligt.</w:t>
      </w:r>
    </w:p>
    <w:p w:rsidR="00C35894" w:rsidRPr="00F830DB" w:rsidRDefault="00F9729D" w:rsidP="00EC3ABE">
      <w:pPr>
        <w:pStyle w:val="Fiblstandard"/>
      </w:pPr>
      <w:r w:rsidRPr="00511200">
        <w:t>(Frick, 16.2</w:t>
      </w:r>
      <w:r w:rsidR="00C35894" w:rsidRPr="00E00FE8">
        <w:t>.2016</w:t>
      </w:r>
      <w:r w:rsidR="006666A6" w:rsidRPr="00E00FE8">
        <w:t xml:space="preserve">) </w:t>
      </w:r>
      <w:r w:rsidR="00C35894" w:rsidRPr="00B87436">
        <w:t>Das Team analysierte Daten aus der ganzen Welt und überprüfte 196 wissenschaftliche Publikationen zu Milch und 67 zu Fleisch. Dabei fand es deutliche Unterschiede sowohl zwischen biologischer und konventioneller Milch als auch zwischen biologischem und konventionellem Fleisch</w:t>
      </w:r>
      <w:r w:rsidR="00C96DD7">
        <w:t>.</w:t>
      </w:r>
      <w:r w:rsidR="00C35894" w:rsidRPr="00B87436">
        <w:t xml:space="preserve"> </w:t>
      </w:r>
      <w:r w:rsidR="00C96DD7" w:rsidRPr="00EC3ABE">
        <w:t>B</w:t>
      </w:r>
      <w:r w:rsidR="00C35894" w:rsidRPr="00EC3ABE">
        <w:t>esonders</w:t>
      </w:r>
      <w:r w:rsidR="00C96DD7">
        <w:t xml:space="preserve"> auffallend war der Unterschied</w:t>
      </w:r>
      <w:r w:rsidR="00C35894" w:rsidRPr="00B87436">
        <w:t xml:space="preserve"> im Bereich der Fettsäurezusammensetzung und des Anteils an </w:t>
      </w:r>
      <w:r w:rsidR="00C35894" w:rsidRPr="00F830DB">
        <w:t xml:space="preserve">essentiellen Mineralstoffen und Antioxidantien. </w:t>
      </w:r>
    </w:p>
    <w:p w:rsidR="00C35894" w:rsidRPr="00F830DB" w:rsidRDefault="00DA1F0E" w:rsidP="00575409">
      <w:pPr>
        <w:pStyle w:val="Fiblstandard"/>
      </w:pPr>
      <w:r>
        <w:t xml:space="preserve">Die </w:t>
      </w:r>
      <w:r w:rsidR="00773A86">
        <w:t xml:space="preserve">beiden </w:t>
      </w:r>
      <w:r>
        <w:t>Studie</w:t>
      </w:r>
      <w:r w:rsidR="00773A86">
        <w:t>n</w:t>
      </w:r>
      <w:r>
        <w:t xml:space="preserve"> zeigte</w:t>
      </w:r>
      <w:r w:rsidR="00773A86">
        <w:t>n</w:t>
      </w:r>
      <w:r>
        <w:t xml:space="preserve"> unter anderem: </w:t>
      </w:r>
    </w:p>
    <w:p w:rsidR="00C35894" w:rsidRPr="00575409" w:rsidRDefault="00C35894" w:rsidP="00575409">
      <w:pPr>
        <w:pStyle w:val="fiblaufzaehlungzusatz"/>
        <w:rPr>
          <w:b/>
          <w:lang w:val="de-CH"/>
        </w:rPr>
      </w:pPr>
      <w:r w:rsidRPr="00575409">
        <w:rPr>
          <w:lang w:val="de-CH"/>
        </w:rPr>
        <w:t>Sowohl Biomilch als auch Biofleisch enthalten rund 50 % mehr gesundheitsfördernde Omega-3-Fettsäuren als konventionelle Produkte.</w:t>
      </w:r>
    </w:p>
    <w:p w:rsidR="00C35894" w:rsidRPr="00575409" w:rsidRDefault="00C31C41" w:rsidP="00C31C41">
      <w:pPr>
        <w:pStyle w:val="fiblaufzaehlungzusatz"/>
        <w:rPr>
          <w:b/>
          <w:lang w:val="de-CH"/>
        </w:rPr>
      </w:pPr>
      <w:r w:rsidRPr="00C31C41">
        <w:rPr>
          <w:lang w:val="de-CH"/>
        </w:rPr>
        <w:t>Biomilch enth</w:t>
      </w:r>
      <w:r w:rsidRPr="00C31C41">
        <w:rPr>
          <w:rFonts w:hint="eastAsia"/>
          <w:lang w:val="de-CH"/>
        </w:rPr>
        <w:t>ä</w:t>
      </w:r>
      <w:r>
        <w:rPr>
          <w:lang w:val="de-CH"/>
        </w:rPr>
        <w:t>lt 40 % mehr konju</w:t>
      </w:r>
      <w:r w:rsidRPr="00C31C41">
        <w:rPr>
          <w:lang w:val="de-CH"/>
        </w:rPr>
        <w:t>gierte Linols</w:t>
      </w:r>
      <w:r w:rsidRPr="00C31C41">
        <w:rPr>
          <w:rFonts w:hint="eastAsia"/>
          <w:lang w:val="de-CH"/>
        </w:rPr>
        <w:t>ä</w:t>
      </w:r>
      <w:r w:rsidRPr="00C31C41">
        <w:rPr>
          <w:lang w:val="de-CH"/>
        </w:rPr>
        <w:t>ure (CLA)</w:t>
      </w:r>
      <w:r>
        <w:rPr>
          <w:lang w:val="de-CH"/>
        </w:rPr>
        <w:t xml:space="preserve"> </w:t>
      </w:r>
      <w:r w:rsidR="00E00FE8">
        <w:rPr>
          <w:lang w:val="de-CH"/>
        </w:rPr>
        <w:t>mit gesundheitsfördernden Eigenschaften.</w:t>
      </w:r>
      <w:r w:rsidR="00527B26" w:rsidRPr="00575409">
        <w:rPr>
          <w:lang w:val="de-CH"/>
        </w:rPr>
        <w:t xml:space="preserve"> </w:t>
      </w:r>
    </w:p>
    <w:p w:rsidR="00C35894" w:rsidRPr="00575409" w:rsidRDefault="00C35894" w:rsidP="00575409">
      <w:pPr>
        <w:pStyle w:val="fiblaufzaehlungzusatz"/>
        <w:rPr>
          <w:b/>
          <w:lang w:val="de-CH"/>
        </w:rPr>
      </w:pPr>
      <w:r w:rsidRPr="00575409">
        <w:rPr>
          <w:lang w:val="de-CH"/>
        </w:rPr>
        <w:t>Biomilch enthält leicht höhere Anteile an Eisen, Vitamin E und einigen Carotinoiden</w:t>
      </w:r>
      <w:r w:rsidR="00673338" w:rsidRPr="00575409">
        <w:rPr>
          <w:lang w:val="de-CH"/>
        </w:rPr>
        <w:t>.</w:t>
      </w:r>
    </w:p>
    <w:p w:rsidR="005C58EB" w:rsidRPr="00223D4A" w:rsidRDefault="005C58EB" w:rsidP="00575409">
      <w:pPr>
        <w:pStyle w:val="fiblaufzaehlungzusatz"/>
        <w:rPr>
          <w:b/>
          <w:lang w:val="de-CH"/>
        </w:rPr>
      </w:pPr>
      <w:r w:rsidRPr="00575409">
        <w:rPr>
          <w:lang w:val="de-CH"/>
        </w:rPr>
        <w:t xml:space="preserve"> </w:t>
      </w:r>
      <w:r w:rsidR="00527B26" w:rsidRPr="00575409">
        <w:rPr>
          <w:lang w:val="de-CH"/>
        </w:rPr>
        <w:t xml:space="preserve">In </w:t>
      </w:r>
      <w:r w:rsidRPr="00575409">
        <w:rPr>
          <w:lang w:val="de-CH"/>
        </w:rPr>
        <w:t xml:space="preserve">der konventionellen Milch </w:t>
      </w:r>
      <w:r w:rsidR="00527B26" w:rsidRPr="00575409">
        <w:rPr>
          <w:lang w:val="de-CH"/>
        </w:rPr>
        <w:t xml:space="preserve">ist </w:t>
      </w:r>
      <w:r w:rsidRPr="00575409">
        <w:rPr>
          <w:lang w:val="de-CH"/>
        </w:rPr>
        <w:t>der Gehalt an Jod, einem essentiellen Spurenelement</w:t>
      </w:r>
      <w:r w:rsidR="00527B26" w:rsidRPr="00575409">
        <w:rPr>
          <w:lang w:val="de-CH"/>
        </w:rPr>
        <w:t>,</w:t>
      </w:r>
      <w:r w:rsidRPr="00575409">
        <w:rPr>
          <w:lang w:val="de-CH"/>
        </w:rPr>
        <w:t xml:space="preserve"> im </w:t>
      </w:r>
      <w:r w:rsidR="008548FF" w:rsidRPr="00575409">
        <w:rPr>
          <w:lang w:val="de-CH"/>
        </w:rPr>
        <w:t>Durchschnitt</w:t>
      </w:r>
      <w:r w:rsidRPr="00575409">
        <w:rPr>
          <w:lang w:val="de-CH"/>
        </w:rPr>
        <w:t xml:space="preserve"> um 74 % erhöht.</w:t>
      </w:r>
    </w:p>
    <w:p w:rsidR="00223D4A" w:rsidRPr="00575409" w:rsidRDefault="00223D4A" w:rsidP="00223D4A">
      <w:pPr>
        <w:pStyle w:val="fiblaufzaehlungzusatz"/>
        <w:numPr>
          <w:ilvl w:val="0"/>
          <w:numId w:val="0"/>
        </w:numPr>
        <w:ind w:left="720"/>
        <w:rPr>
          <w:b/>
          <w:lang w:val="de-CH"/>
        </w:rPr>
      </w:pPr>
    </w:p>
    <w:p w:rsidR="00C35894" w:rsidRDefault="00C35894" w:rsidP="00575409">
      <w:pPr>
        <w:pStyle w:val="Fiblstandard"/>
      </w:pPr>
      <w:r w:rsidRPr="00B87436">
        <w:t xml:space="preserve">Die Erkenntnisse </w:t>
      </w:r>
      <w:r>
        <w:t>wu</w:t>
      </w:r>
      <w:r w:rsidRPr="00B87436">
        <w:t xml:space="preserve">rden am 16. Februar 2016 im </w:t>
      </w:r>
      <w:r w:rsidRPr="004F3831">
        <w:rPr>
          <w:i/>
        </w:rPr>
        <w:t xml:space="preserve">British Journal </w:t>
      </w:r>
      <w:proofErr w:type="spellStart"/>
      <w:r w:rsidRPr="004F3831">
        <w:rPr>
          <w:i/>
        </w:rPr>
        <w:t>of</w:t>
      </w:r>
      <w:proofErr w:type="spellEnd"/>
      <w:r w:rsidRPr="004F3831">
        <w:rPr>
          <w:i/>
        </w:rPr>
        <w:t xml:space="preserve"> Nutrition</w:t>
      </w:r>
      <w:r w:rsidRPr="004F3831">
        <w:t xml:space="preserve"> </w:t>
      </w:r>
      <w:r w:rsidRPr="00B87436">
        <w:t>veröffentlicht. Laut dem Expertenteam zeigen die Daten, dass Menschen durch einen Wechsel zu Biomilch und Biofleisch mehr Fettsäuren zu sich nehmen, die in der Ernährung wichtig sind.</w:t>
      </w:r>
    </w:p>
    <w:p w:rsidR="005C58EB" w:rsidRDefault="005C58EB" w:rsidP="00575409">
      <w:pPr>
        <w:pStyle w:val="Fiblstandard"/>
      </w:pPr>
      <w:r>
        <w:t xml:space="preserve">Die Unterschiede sind hauptsächlich auf die unterschiedliche Fütterung von biologisch und konventionell gehaltenen Tieren zurückzuführen. Bei Wiederkäuern (Rind, Schaf, Ziegen) beschränken die Biorichtlinien den Anteil von Kraftfutter (Körnermais, Getreide, Soja) stark. </w:t>
      </w:r>
      <w:r w:rsidR="00527B26">
        <w:lastRenderedPageBreak/>
        <w:t xml:space="preserve">Für </w:t>
      </w:r>
      <w:r>
        <w:t xml:space="preserve"> Geflügel und Schweine</w:t>
      </w:r>
      <w:r w:rsidR="00527B26">
        <w:t>n</w:t>
      </w:r>
      <w:r>
        <w:t xml:space="preserve"> fordern die Biorichtlinien Auslauf im Freien, so dass auch diese Tiere in der Regel mehr Gras und Kräuter fressen. </w:t>
      </w:r>
    </w:p>
    <w:p w:rsidR="00C35894" w:rsidRPr="00B87436" w:rsidRDefault="00C35894" w:rsidP="00575409">
      <w:pPr>
        <w:pStyle w:val="Fiblstandard"/>
      </w:pPr>
      <w:r>
        <w:t xml:space="preserve">Die </w:t>
      </w:r>
      <w:r w:rsidR="00E710F6">
        <w:t xml:space="preserve">beiden Studien </w:t>
      </w:r>
      <w:r w:rsidR="00185063">
        <w:t>ergänz</w:t>
      </w:r>
      <w:r w:rsidR="00E710F6">
        <w:t>en</w:t>
      </w:r>
      <w:r w:rsidR="008548FF">
        <w:t xml:space="preserve"> </w:t>
      </w:r>
      <w:r>
        <w:t xml:space="preserve">eine </w:t>
      </w:r>
      <w:r w:rsidR="00E710F6">
        <w:t>Publikation</w:t>
      </w:r>
      <w:bookmarkStart w:id="0" w:name="_GoBack"/>
      <w:bookmarkEnd w:id="0"/>
      <w:r>
        <w:t xml:space="preserve"> </w:t>
      </w:r>
      <w:r w:rsidR="00C76153">
        <w:t>von 2014</w:t>
      </w:r>
      <w:r w:rsidRPr="00B87436">
        <w:t xml:space="preserve">, in welcher ein </w:t>
      </w:r>
      <w:r w:rsidR="00C76153">
        <w:t xml:space="preserve">internationales </w:t>
      </w:r>
      <w:r w:rsidRPr="00B87436">
        <w:t xml:space="preserve">Team </w:t>
      </w:r>
      <w:r>
        <w:t>die Zusammensetzung biologisch</w:t>
      </w:r>
      <w:r w:rsidRPr="00B87436">
        <w:t xml:space="preserve"> und konventio</w:t>
      </w:r>
      <w:r>
        <w:t>nell angebaute</w:t>
      </w:r>
      <w:r w:rsidR="00C76153">
        <w:t>r</w:t>
      </w:r>
      <w:r>
        <w:t xml:space="preserve"> </w:t>
      </w:r>
      <w:r w:rsidRPr="00B87436">
        <w:t>Nutzpflanzen untersucht hatte.</w:t>
      </w:r>
      <w:r>
        <w:t xml:space="preserve"> Diese </w:t>
      </w:r>
      <w:r w:rsidRPr="00B87436">
        <w:t xml:space="preserve">ebenfalls im </w:t>
      </w:r>
      <w:r w:rsidRPr="00B87436">
        <w:rPr>
          <w:i/>
        </w:rPr>
        <w:t xml:space="preserve">British Journal </w:t>
      </w:r>
      <w:proofErr w:type="spellStart"/>
      <w:r w:rsidRPr="00B87436">
        <w:rPr>
          <w:i/>
        </w:rPr>
        <w:t>of</w:t>
      </w:r>
      <w:proofErr w:type="spellEnd"/>
      <w:r w:rsidRPr="00B87436">
        <w:rPr>
          <w:i/>
        </w:rPr>
        <w:t xml:space="preserve"> Nutrition</w:t>
      </w:r>
      <w:r w:rsidRPr="00B87436">
        <w:t xml:space="preserve"> veröffentlichte Stu</w:t>
      </w:r>
      <w:r>
        <w:t>die zeigte, dass in biologisch ang</w:t>
      </w:r>
      <w:r w:rsidR="008548FF">
        <w:t>e</w:t>
      </w:r>
      <w:r>
        <w:t>bauten</w:t>
      </w:r>
      <w:r w:rsidRPr="00B87436">
        <w:t xml:space="preserve"> Nutzpflanzen 60 % mehr wichtige Antioxidantien vorhanden sind als in konventionellen</w:t>
      </w:r>
      <w:r>
        <w:t xml:space="preserve">. </w:t>
      </w:r>
      <w:r w:rsidRPr="00B87436">
        <w:t xml:space="preserve"> </w:t>
      </w:r>
    </w:p>
    <w:p w:rsidR="00F830DB" w:rsidRPr="00424148" w:rsidRDefault="00C35894" w:rsidP="00424148">
      <w:pPr>
        <w:pStyle w:val="Fiblstandard"/>
      </w:pPr>
      <w:r w:rsidRPr="00C35894">
        <w:t xml:space="preserve">FiBL-Direktor Urs Niggli zieht folgende Schlüsse: „Wir haben belegt, dass es Unterschiede in der Zusammensetzung zwischen Biolebensmitteln und konventionellen Lebensmitteln gibt. </w:t>
      </w:r>
      <w:r w:rsidRPr="00B87436">
        <w:t>Zusammenge</w:t>
      </w:r>
      <w:r>
        <w:t>fasst zeigen diese drei Studien</w:t>
      </w:r>
      <w:r w:rsidRPr="00B87436">
        <w:t xml:space="preserve">, dass man </w:t>
      </w:r>
      <w:r w:rsidR="00C76153">
        <w:t xml:space="preserve">bei einem  </w:t>
      </w:r>
      <w:r>
        <w:t>Wechsel auf</w:t>
      </w:r>
      <w:r w:rsidRPr="00B87436">
        <w:t xml:space="preserve"> Biofrüchte, -gemüse, -fleisch, und -milchprodukte erheblich mehr Antioxidantien und Omega-3</w:t>
      </w:r>
      <w:r w:rsidR="00240469">
        <w:t>-</w:t>
      </w:r>
      <w:r w:rsidR="00E00FE8">
        <w:t>Fettsäuren</w:t>
      </w:r>
      <w:r w:rsidRPr="00B87436">
        <w:t xml:space="preserve"> zu sich </w:t>
      </w:r>
      <w:r w:rsidR="00C76153">
        <w:t>nimmt</w:t>
      </w:r>
      <w:r w:rsidRPr="00B87436">
        <w:t>.</w:t>
      </w:r>
      <w:r w:rsidR="008548FF">
        <w:t>“</w:t>
      </w:r>
    </w:p>
    <w:p w:rsidR="006666A6" w:rsidRDefault="00F830DB" w:rsidP="00424148">
      <w:pPr>
        <w:pStyle w:val="Fiblzusatzinfo"/>
      </w:pPr>
      <w:r>
        <w:t>FiBL-Kontakt</w:t>
      </w:r>
    </w:p>
    <w:p w:rsidR="006666A6" w:rsidRPr="00CB717A" w:rsidRDefault="00F830DB" w:rsidP="004A367F">
      <w:pPr>
        <w:pStyle w:val="fiblaufzaehlungzusatz"/>
        <w:rPr>
          <w:lang w:val="it-IT"/>
        </w:rPr>
      </w:pPr>
      <w:r>
        <w:rPr>
          <w:lang w:val="de-DE"/>
        </w:rPr>
        <w:t>Prof. Dr. Urs Niggli</w:t>
      </w:r>
      <w:r w:rsidR="000C1924" w:rsidRPr="00CB717A">
        <w:rPr>
          <w:lang w:val="de-DE"/>
        </w:rPr>
        <w:t xml:space="preserve">, </w:t>
      </w:r>
      <w:r w:rsidR="00F9729D">
        <w:rPr>
          <w:lang w:val="de-DE"/>
        </w:rPr>
        <w:t xml:space="preserve">Direktor </w:t>
      </w:r>
      <w:r w:rsidR="000C1924" w:rsidRPr="00CB717A">
        <w:rPr>
          <w:lang w:val="de-DE"/>
        </w:rPr>
        <w:t xml:space="preserve">FiBL, Tel. </w:t>
      </w:r>
      <w:r w:rsidR="000C1924" w:rsidRPr="00CB717A">
        <w:rPr>
          <w:lang w:val="it-IT"/>
        </w:rPr>
        <w:t xml:space="preserve">+41 (0)62 865 </w:t>
      </w:r>
      <w:r w:rsidR="00CB717A" w:rsidRPr="00CB717A">
        <w:rPr>
          <w:lang w:val="it-IT"/>
        </w:rPr>
        <w:t xml:space="preserve">72 </w:t>
      </w:r>
      <w:r w:rsidR="001B41A1">
        <w:rPr>
          <w:lang w:val="it-IT"/>
        </w:rPr>
        <w:t>70</w:t>
      </w:r>
      <w:r w:rsidR="000C1924" w:rsidRPr="00CB717A">
        <w:rPr>
          <w:lang w:val="it-IT"/>
        </w:rPr>
        <w:t xml:space="preserve">, E-Mail </w:t>
      </w:r>
      <w:hyperlink r:id="rId14" w:history="1">
        <w:r w:rsidR="00F9729D">
          <w:rPr>
            <w:rStyle w:val="Hyperlink"/>
            <w:lang w:val="it-IT"/>
          </w:rPr>
          <w:t>urs.niggli</w:t>
        </w:r>
      </w:hyperlink>
      <w:r w:rsidR="00F9729D">
        <w:rPr>
          <w:rStyle w:val="Hyperlink"/>
          <w:lang w:val="it-IT"/>
        </w:rPr>
        <w:t xml:space="preserve">@fibl.org </w:t>
      </w:r>
    </w:p>
    <w:p w:rsidR="000C1924" w:rsidRPr="00961956" w:rsidRDefault="00F830DB" w:rsidP="004A367F">
      <w:pPr>
        <w:pStyle w:val="fiblaufzaehlungzusatz"/>
        <w:rPr>
          <w:lang w:val="de-CH"/>
        </w:rPr>
      </w:pPr>
      <w:r>
        <w:rPr>
          <w:lang w:val="de-DE"/>
        </w:rPr>
        <w:t>Franziska Hämmerli,</w:t>
      </w:r>
      <w:r w:rsidR="000C1924" w:rsidRPr="00CB717A">
        <w:rPr>
          <w:lang w:val="de-DE"/>
        </w:rPr>
        <w:t xml:space="preserve"> </w:t>
      </w:r>
      <w:r w:rsidR="00575409">
        <w:rPr>
          <w:lang w:val="de-DE"/>
        </w:rPr>
        <w:t>Medien-Ansprechpartnerin FiBL</w:t>
      </w:r>
      <w:r w:rsidR="000C1924" w:rsidRPr="00CB717A">
        <w:rPr>
          <w:lang w:val="de-DE"/>
        </w:rPr>
        <w:t xml:space="preserve">, Tel +41 (0)62 865 72 </w:t>
      </w:r>
      <w:r w:rsidR="001B41A1">
        <w:rPr>
          <w:lang w:val="de-DE"/>
        </w:rPr>
        <w:t>80</w:t>
      </w:r>
      <w:r w:rsidR="00575409">
        <w:rPr>
          <w:lang w:val="de-DE"/>
        </w:rPr>
        <w:t>,</w:t>
      </w:r>
      <w:r w:rsidR="000C1924" w:rsidRPr="00CB717A">
        <w:rPr>
          <w:lang w:val="de-DE"/>
        </w:rPr>
        <w:t xml:space="preserve"> E-Mail </w:t>
      </w:r>
      <w:hyperlink r:id="rId15" w:history="1">
        <w:r w:rsidR="00EF14AC" w:rsidRPr="00761613">
          <w:rPr>
            <w:rStyle w:val="Hyperlink"/>
            <w:lang w:val="de-DE"/>
          </w:rPr>
          <w:t>franziska.haemmerli@fibl.org</w:t>
        </w:r>
      </w:hyperlink>
      <w:r w:rsidR="00F9729D">
        <w:rPr>
          <w:lang w:val="de-DE"/>
        </w:rPr>
        <w:t xml:space="preserve"> </w:t>
      </w:r>
    </w:p>
    <w:p w:rsidR="00323DCE" w:rsidRDefault="008548FF" w:rsidP="008D67BF">
      <w:pPr>
        <w:pStyle w:val="Fiblzusatzinfo"/>
      </w:pPr>
      <w:r>
        <w:t>Literaturzitat</w:t>
      </w:r>
    </w:p>
    <w:p w:rsidR="00F830DB" w:rsidRDefault="00F830DB">
      <w:pPr>
        <w:pStyle w:val="Fiblstandard"/>
      </w:pPr>
      <w:r>
        <w:t>Die in der Medienmitteilung</w:t>
      </w:r>
      <w:r w:rsidR="00F771A8">
        <w:t xml:space="preserve"> genannten Ergebnisse wurden im</w:t>
      </w:r>
      <w:r>
        <w:t xml:space="preserve"> </w:t>
      </w:r>
      <w:r w:rsidRPr="00F771A8">
        <w:rPr>
          <w:rFonts w:cs="Arial"/>
          <w:i/>
        </w:rPr>
        <w:t xml:space="preserve">British Journal </w:t>
      </w:r>
      <w:proofErr w:type="spellStart"/>
      <w:r w:rsidRPr="00F771A8">
        <w:rPr>
          <w:rFonts w:cs="Arial"/>
          <w:i/>
        </w:rPr>
        <w:t>of</w:t>
      </w:r>
      <w:proofErr w:type="spellEnd"/>
      <w:r w:rsidRPr="00F771A8">
        <w:rPr>
          <w:rFonts w:cs="Arial"/>
          <w:i/>
        </w:rPr>
        <w:t xml:space="preserve"> Nutrition</w:t>
      </w:r>
      <w:r>
        <w:rPr>
          <w:rFonts w:cs="Arial"/>
          <w:b/>
          <w:i/>
        </w:rPr>
        <w:t xml:space="preserve"> </w:t>
      </w:r>
      <w:r>
        <w:t xml:space="preserve"> publiziert:</w:t>
      </w:r>
    </w:p>
    <w:p w:rsidR="00D340A5" w:rsidRPr="00511200" w:rsidRDefault="008548FF">
      <w:pPr>
        <w:pStyle w:val="fiblaufzaehlungzusatz"/>
      </w:pPr>
      <w:proofErr w:type="spellStart"/>
      <w:r w:rsidRPr="00E00FE8">
        <w:rPr>
          <w:lang w:val="de-CH"/>
        </w:rPr>
        <w:t>Średnicka-Tober</w:t>
      </w:r>
      <w:proofErr w:type="spellEnd"/>
      <w:r w:rsidRPr="00E00FE8">
        <w:rPr>
          <w:lang w:val="de-CH"/>
        </w:rPr>
        <w:t xml:space="preserve">, Dominika, Marcin </w:t>
      </w:r>
      <w:proofErr w:type="spellStart"/>
      <w:r w:rsidRPr="00E00FE8">
        <w:rPr>
          <w:lang w:val="de-CH"/>
        </w:rPr>
        <w:t>Barański</w:t>
      </w:r>
      <w:proofErr w:type="spellEnd"/>
      <w:r w:rsidRPr="00E00FE8">
        <w:rPr>
          <w:lang w:val="de-CH"/>
        </w:rPr>
        <w:t xml:space="preserve">, Chris Seal, Roy </w:t>
      </w:r>
      <w:proofErr w:type="spellStart"/>
      <w:r w:rsidRPr="00E00FE8">
        <w:rPr>
          <w:lang w:val="de-CH"/>
        </w:rPr>
        <w:t>Sanderson</w:t>
      </w:r>
      <w:proofErr w:type="spellEnd"/>
      <w:r w:rsidRPr="00E00FE8">
        <w:rPr>
          <w:lang w:val="de-CH"/>
        </w:rPr>
        <w:t xml:space="preserve">, Charles </w:t>
      </w:r>
      <w:proofErr w:type="spellStart"/>
      <w:r w:rsidRPr="00E00FE8">
        <w:rPr>
          <w:lang w:val="de-CH"/>
        </w:rPr>
        <w:t>Benbrook</w:t>
      </w:r>
      <w:proofErr w:type="spellEnd"/>
      <w:r w:rsidRPr="00E00FE8">
        <w:rPr>
          <w:lang w:val="de-CH"/>
        </w:rPr>
        <w:t xml:space="preserve">, </w:t>
      </w:r>
      <w:proofErr w:type="spellStart"/>
      <w:r w:rsidRPr="00E00FE8">
        <w:rPr>
          <w:lang w:val="de-CH"/>
        </w:rPr>
        <w:t>Håvard</w:t>
      </w:r>
      <w:proofErr w:type="spellEnd"/>
      <w:r w:rsidRPr="00E00FE8">
        <w:rPr>
          <w:lang w:val="de-CH"/>
        </w:rPr>
        <w:t xml:space="preserve"> </w:t>
      </w:r>
      <w:proofErr w:type="spellStart"/>
      <w:r w:rsidRPr="00E00FE8">
        <w:rPr>
          <w:lang w:val="de-CH"/>
        </w:rPr>
        <w:t>Steinshamn</w:t>
      </w:r>
      <w:proofErr w:type="spellEnd"/>
      <w:r w:rsidRPr="00E00FE8">
        <w:rPr>
          <w:lang w:val="de-CH"/>
        </w:rPr>
        <w:t xml:space="preserve">, Joanna </w:t>
      </w:r>
      <w:proofErr w:type="spellStart"/>
      <w:r w:rsidRPr="00E00FE8">
        <w:rPr>
          <w:lang w:val="de-CH"/>
        </w:rPr>
        <w:t>Gromadzka-Ostrowska</w:t>
      </w:r>
      <w:proofErr w:type="spellEnd"/>
      <w:r w:rsidRPr="00E00FE8">
        <w:rPr>
          <w:lang w:val="de-CH"/>
        </w:rPr>
        <w:t xml:space="preserve">, Ewa </w:t>
      </w:r>
      <w:proofErr w:type="spellStart"/>
      <w:r w:rsidRPr="00E00FE8">
        <w:rPr>
          <w:lang w:val="de-CH"/>
        </w:rPr>
        <w:t>Rembiałkowska</w:t>
      </w:r>
      <w:proofErr w:type="spellEnd"/>
      <w:r w:rsidRPr="00E00FE8">
        <w:rPr>
          <w:lang w:val="de-CH"/>
        </w:rPr>
        <w:t xml:space="preserve">, Krystyna </w:t>
      </w:r>
      <w:proofErr w:type="spellStart"/>
      <w:r w:rsidRPr="00E00FE8">
        <w:rPr>
          <w:lang w:val="de-CH"/>
        </w:rPr>
        <w:t>Skwarło-Son</w:t>
      </w:r>
      <w:r w:rsidRPr="00E00FE8">
        <w:rPr>
          <w:rFonts w:eastAsia="AdvOT8608a8d1+03"/>
          <w:lang w:val="de-CH"/>
        </w:rPr>
        <w:t>́</w:t>
      </w:r>
      <w:r w:rsidRPr="00E00FE8">
        <w:rPr>
          <w:lang w:val="de-CH"/>
        </w:rPr>
        <w:t>ta</w:t>
      </w:r>
      <w:proofErr w:type="spellEnd"/>
      <w:r w:rsidRPr="00E00FE8">
        <w:rPr>
          <w:lang w:val="de-CH"/>
        </w:rPr>
        <w:t xml:space="preserve">, Mick </w:t>
      </w:r>
      <w:proofErr w:type="spellStart"/>
      <w:r w:rsidRPr="00E00FE8">
        <w:rPr>
          <w:lang w:val="de-CH"/>
        </w:rPr>
        <w:t>Eyre</w:t>
      </w:r>
      <w:proofErr w:type="spellEnd"/>
      <w:r w:rsidRPr="00E00FE8">
        <w:rPr>
          <w:lang w:val="de-CH"/>
        </w:rPr>
        <w:t xml:space="preserve">, Giulio </w:t>
      </w:r>
      <w:proofErr w:type="spellStart"/>
      <w:r w:rsidRPr="00E00FE8">
        <w:rPr>
          <w:lang w:val="de-CH"/>
        </w:rPr>
        <w:t>Cozzi</w:t>
      </w:r>
      <w:proofErr w:type="spellEnd"/>
      <w:r w:rsidRPr="00E00FE8">
        <w:rPr>
          <w:lang w:val="de-CH"/>
        </w:rPr>
        <w:t xml:space="preserve">, Mette Krogh Larsen, Teresa Jordon, Urs Niggli, Tomasz </w:t>
      </w:r>
      <w:proofErr w:type="spellStart"/>
      <w:r w:rsidRPr="00E00FE8">
        <w:rPr>
          <w:lang w:val="de-CH"/>
        </w:rPr>
        <w:t>Sakowski</w:t>
      </w:r>
      <w:proofErr w:type="spellEnd"/>
      <w:r w:rsidRPr="00E00FE8">
        <w:rPr>
          <w:lang w:val="de-CH"/>
        </w:rPr>
        <w:t xml:space="preserve">,  Philip C. Calder, Graham C. </w:t>
      </w:r>
      <w:proofErr w:type="spellStart"/>
      <w:r w:rsidRPr="00E00FE8">
        <w:rPr>
          <w:lang w:val="de-CH"/>
        </w:rPr>
        <w:t>Burdge</w:t>
      </w:r>
      <w:proofErr w:type="spellEnd"/>
      <w:r w:rsidRPr="00E00FE8">
        <w:rPr>
          <w:lang w:val="de-CH"/>
        </w:rPr>
        <w:t xml:space="preserve">, Smaragda </w:t>
      </w:r>
      <w:proofErr w:type="spellStart"/>
      <w:r w:rsidRPr="00E00FE8">
        <w:rPr>
          <w:lang w:val="de-CH"/>
        </w:rPr>
        <w:t>Sotiraki</w:t>
      </w:r>
      <w:proofErr w:type="spellEnd"/>
      <w:r w:rsidRPr="00E00FE8">
        <w:rPr>
          <w:lang w:val="de-CH"/>
        </w:rPr>
        <w:t xml:space="preserve">, Alexandros </w:t>
      </w:r>
      <w:proofErr w:type="spellStart"/>
      <w:r w:rsidRPr="00E00FE8">
        <w:rPr>
          <w:lang w:val="de-CH"/>
        </w:rPr>
        <w:t>Stefanakis</w:t>
      </w:r>
      <w:proofErr w:type="spellEnd"/>
      <w:r w:rsidRPr="00E00FE8">
        <w:rPr>
          <w:lang w:val="de-CH"/>
        </w:rPr>
        <w:t xml:space="preserve">, Halil </w:t>
      </w:r>
      <w:proofErr w:type="spellStart"/>
      <w:r w:rsidRPr="00E00FE8">
        <w:rPr>
          <w:lang w:val="de-CH"/>
        </w:rPr>
        <w:t>Yolcu</w:t>
      </w:r>
      <w:proofErr w:type="spellEnd"/>
      <w:r w:rsidRPr="00E00FE8">
        <w:rPr>
          <w:lang w:val="de-CH"/>
        </w:rPr>
        <w:t xml:space="preserve">, Sokratis </w:t>
      </w:r>
      <w:proofErr w:type="spellStart"/>
      <w:r w:rsidRPr="00E00FE8">
        <w:rPr>
          <w:lang w:val="de-CH"/>
        </w:rPr>
        <w:t>Stergiadis</w:t>
      </w:r>
      <w:proofErr w:type="spellEnd"/>
      <w:r w:rsidRPr="00E00FE8">
        <w:rPr>
          <w:lang w:val="de-CH"/>
        </w:rPr>
        <w:t xml:space="preserve">, Eleni </w:t>
      </w:r>
      <w:proofErr w:type="spellStart"/>
      <w:r w:rsidRPr="00E00FE8">
        <w:rPr>
          <w:lang w:val="de-CH"/>
        </w:rPr>
        <w:t>Chatzidimitriou</w:t>
      </w:r>
      <w:proofErr w:type="spellEnd"/>
      <w:r w:rsidRPr="00E00FE8">
        <w:rPr>
          <w:lang w:val="de-CH"/>
        </w:rPr>
        <w:t xml:space="preserve">, Gillian Butler, Gavin Stewart </w:t>
      </w:r>
      <w:proofErr w:type="spellStart"/>
      <w:r w:rsidRPr="00E00FE8">
        <w:rPr>
          <w:lang w:val="de-CH"/>
        </w:rPr>
        <w:t>and</w:t>
      </w:r>
      <w:proofErr w:type="spellEnd"/>
      <w:r w:rsidRPr="00E00FE8">
        <w:rPr>
          <w:lang w:val="de-CH"/>
        </w:rPr>
        <w:t xml:space="preserve"> Carlo </w:t>
      </w:r>
      <w:proofErr w:type="spellStart"/>
      <w:r w:rsidRPr="00E00FE8">
        <w:rPr>
          <w:lang w:val="de-CH"/>
        </w:rPr>
        <w:t>Leifert</w:t>
      </w:r>
      <w:proofErr w:type="spellEnd"/>
      <w:r w:rsidRPr="00E00FE8">
        <w:rPr>
          <w:lang w:val="de-CH"/>
        </w:rPr>
        <w:t xml:space="preserve"> (2016): </w:t>
      </w:r>
      <w:proofErr w:type="spellStart"/>
      <w:r w:rsidRPr="00E00FE8">
        <w:rPr>
          <w:lang w:val="de-CH"/>
        </w:rPr>
        <w:t>Composition</w:t>
      </w:r>
      <w:proofErr w:type="spellEnd"/>
      <w:r w:rsidRPr="00E00FE8">
        <w:rPr>
          <w:lang w:val="de-CH"/>
        </w:rPr>
        <w:t xml:space="preserve"> </w:t>
      </w:r>
      <w:proofErr w:type="spellStart"/>
      <w:r w:rsidRPr="00E00FE8">
        <w:rPr>
          <w:lang w:val="de-CH"/>
        </w:rPr>
        <w:t>differences</w:t>
      </w:r>
      <w:proofErr w:type="spellEnd"/>
      <w:r w:rsidRPr="00E00FE8">
        <w:rPr>
          <w:lang w:val="de-CH"/>
        </w:rPr>
        <w:t xml:space="preserve"> </w:t>
      </w:r>
      <w:proofErr w:type="spellStart"/>
      <w:r w:rsidRPr="00E00FE8">
        <w:rPr>
          <w:lang w:val="de-CH"/>
        </w:rPr>
        <w:t>between</w:t>
      </w:r>
      <w:proofErr w:type="spellEnd"/>
      <w:r w:rsidRPr="00E00FE8">
        <w:rPr>
          <w:lang w:val="de-CH"/>
        </w:rPr>
        <w:t xml:space="preserve"> </w:t>
      </w:r>
      <w:proofErr w:type="spellStart"/>
      <w:r w:rsidRPr="00E00FE8">
        <w:rPr>
          <w:lang w:val="de-CH"/>
        </w:rPr>
        <w:t>organic</w:t>
      </w:r>
      <w:proofErr w:type="spellEnd"/>
      <w:r w:rsidRPr="00E00FE8">
        <w:rPr>
          <w:lang w:val="de-CH"/>
        </w:rPr>
        <w:t xml:space="preserve"> </w:t>
      </w:r>
      <w:proofErr w:type="spellStart"/>
      <w:r w:rsidRPr="00E00FE8">
        <w:rPr>
          <w:lang w:val="de-CH"/>
        </w:rPr>
        <w:t>and</w:t>
      </w:r>
      <w:proofErr w:type="spellEnd"/>
      <w:r w:rsidRPr="00E00FE8">
        <w:rPr>
          <w:lang w:val="de-CH"/>
        </w:rPr>
        <w:t xml:space="preserve"> </w:t>
      </w:r>
      <w:proofErr w:type="spellStart"/>
      <w:r w:rsidRPr="00E00FE8">
        <w:rPr>
          <w:lang w:val="de-CH"/>
        </w:rPr>
        <w:t>conventional</w:t>
      </w:r>
      <w:proofErr w:type="spellEnd"/>
      <w:r w:rsidRPr="00E00FE8">
        <w:rPr>
          <w:lang w:val="de-CH"/>
        </w:rPr>
        <w:t xml:space="preserve"> </w:t>
      </w:r>
      <w:proofErr w:type="spellStart"/>
      <w:r w:rsidRPr="00E00FE8">
        <w:rPr>
          <w:lang w:val="de-CH"/>
        </w:rPr>
        <w:t>meat</w:t>
      </w:r>
      <w:proofErr w:type="spellEnd"/>
      <w:r w:rsidRPr="00E00FE8">
        <w:rPr>
          <w:lang w:val="de-CH"/>
        </w:rPr>
        <w:t xml:space="preserve">: a </w:t>
      </w:r>
      <w:proofErr w:type="spellStart"/>
      <w:r w:rsidRPr="00E00FE8">
        <w:rPr>
          <w:lang w:val="de-CH"/>
        </w:rPr>
        <w:t>systematic</w:t>
      </w:r>
      <w:proofErr w:type="spellEnd"/>
      <w:r w:rsidRPr="00E00FE8">
        <w:rPr>
          <w:lang w:val="de-CH"/>
        </w:rPr>
        <w:t xml:space="preserve"> </w:t>
      </w:r>
      <w:proofErr w:type="spellStart"/>
      <w:r w:rsidRPr="00E00FE8">
        <w:rPr>
          <w:lang w:val="de-CH"/>
        </w:rPr>
        <w:t>literature</w:t>
      </w:r>
      <w:proofErr w:type="spellEnd"/>
      <w:r w:rsidRPr="00E00FE8">
        <w:rPr>
          <w:lang w:val="de-CH"/>
        </w:rPr>
        <w:t xml:space="preserve"> </w:t>
      </w:r>
      <w:proofErr w:type="spellStart"/>
      <w:r w:rsidRPr="00E00FE8">
        <w:rPr>
          <w:lang w:val="de-CH"/>
        </w:rPr>
        <w:t>review</w:t>
      </w:r>
      <w:proofErr w:type="spellEnd"/>
      <w:r w:rsidRPr="00E00FE8">
        <w:rPr>
          <w:lang w:val="de-CH"/>
        </w:rPr>
        <w:t xml:space="preserve"> </w:t>
      </w:r>
      <w:proofErr w:type="spellStart"/>
      <w:r w:rsidRPr="00E00FE8">
        <w:rPr>
          <w:lang w:val="de-CH"/>
        </w:rPr>
        <w:t>and</w:t>
      </w:r>
      <w:proofErr w:type="spellEnd"/>
      <w:r w:rsidRPr="00E00FE8">
        <w:rPr>
          <w:lang w:val="de-CH"/>
        </w:rPr>
        <w:t xml:space="preserve"> meta-analysis. </w:t>
      </w:r>
      <w:r w:rsidR="00F830DB" w:rsidRPr="00511200">
        <w:t>British Journal of Nutrition, page 1 of 18 doi:10.1017/S0007114515005073</w:t>
      </w:r>
    </w:p>
    <w:p w:rsidR="00F830DB" w:rsidRPr="00D340A5" w:rsidRDefault="008548FF">
      <w:pPr>
        <w:pStyle w:val="fiblaufzaehlungzusatz"/>
        <w:rPr>
          <w:rFonts w:ascii="AdvOT777cf4fb" w:hAnsi="AdvOT777cf4fb" w:cs="AdvOT777cf4fb"/>
          <w:color w:val="auto"/>
          <w:sz w:val="17"/>
          <w:szCs w:val="17"/>
        </w:rPr>
      </w:pPr>
      <w:proofErr w:type="spellStart"/>
      <w:r w:rsidRPr="00511200">
        <w:t>Średnicka-Tober</w:t>
      </w:r>
      <w:proofErr w:type="spellEnd"/>
      <w:r w:rsidRPr="00511200">
        <w:t xml:space="preserve">, Dominika, Marcin </w:t>
      </w:r>
      <w:proofErr w:type="spellStart"/>
      <w:r w:rsidRPr="00511200">
        <w:t>Barański</w:t>
      </w:r>
      <w:proofErr w:type="spellEnd"/>
      <w:r w:rsidRPr="00511200">
        <w:t xml:space="preserve">, Chris Seal, Roy Sanderson, Charles Benbrook, </w:t>
      </w:r>
      <w:proofErr w:type="spellStart"/>
      <w:r w:rsidRPr="00511200">
        <w:t>Håvard</w:t>
      </w:r>
      <w:proofErr w:type="spellEnd"/>
      <w:r w:rsidRPr="00511200">
        <w:t xml:space="preserve"> </w:t>
      </w:r>
      <w:proofErr w:type="spellStart"/>
      <w:r w:rsidRPr="00511200">
        <w:t>Steinshamn</w:t>
      </w:r>
      <w:proofErr w:type="spellEnd"/>
      <w:r w:rsidRPr="00511200">
        <w:t xml:space="preserve">, Joanna </w:t>
      </w:r>
      <w:proofErr w:type="spellStart"/>
      <w:r w:rsidRPr="00511200">
        <w:t>Gromadzka-Ostrowska</w:t>
      </w:r>
      <w:proofErr w:type="spellEnd"/>
      <w:r w:rsidRPr="00511200">
        <w:t xml:space="preserve">, </w:t>
      </w:r>
      <w:proofErr w:type="spellStart"/>
      <w:r w:rsidRPr="00511200">
        <w:t>Ewa</w:t>
      </w:r>
      <w:proofErr w:type="spellEnd"/>
      <w:r w:rsidRPr="00511200">
        <w:t xml:space="preserve"> </w:t>
      </w:r>
      <w:proofErr w:type="spellStart"/>
      <w:r w:rsidRPr="00511200">
        <w:t>Rembiałkowska</w:t>
      </w:r>
      <w:proofErr w:type="spellEnd"/>
      <w:r w:rsidRPr="00511200">
        <w:t xml:space="preserve">, Krystyna </w:t>
      </w:r>
      <w:proofErr w:type="spellStart"/>
      <w:r w:rsidRPr="00511200">
        <w:t>Skwarło-Son</w:t>
      </w:r>
      <w:r w:rsidRPr="00511200">
        <w:rPr>
          <w:rFonts w:eastAsia="AdvOT8608a8d1+03"/>
        </w:rPr>
        <w:t>́</w:t>
      </w:r>
      <w:r w:rsidRPr="00511200">
        <w:t>ta</w:t>
      </w:r>
      <w:proofErr w:type="spellEnd"/>
      <w:r w:rsidRPr="00511200">
        <w:t xml:space="preserve">, Mick Eyre, Giulio </w:t>
      </w:r>
      <w:proofErr w:type="spellStart"/>
      <w:r w:rsidRPr="00511200">
        <w:t>Cozzi</w:t>
      </w:r>
      <w:proofErr w:type="spellEnd"/>
      <w:r w:rsidRPr="00511200">
        <w:t xml:space="preserve">, Mette Krogh Larsen, Teresa Jordon, Urs Niggli, Tomasz </w:t>
      </w:r>
      <w:proofErr w:type="spellStart"/>
      <w:r w:rsidRPr="00511200">
        <w:t>Sakowski</w:t>
      </w:r>
      <w:proofErr w:type="spellEnd"/>
      <w:r w:rsidRPr="00511200">
        <w:t xml:space="preserve">, Philip C. Calder, Graham C. </w:t>
      </w:r>
      <w:proofErr w:type="spellStart"/>
      <w:r w:rsidRPr="00511200">
        <w:t>Burdge</w:t>
      </w:r>
      <w:proofErr w:type="spellEnd"/>
      <w:r w:rsidRPr="00511200">
        <w:t xml:space="preserve">, </w:t>
      </w:r>
      <w:proofErr w:type="spellStart"/>
      <w:r w:rsidRPr="00511200">
        <w:t>Smaragda</w:t>
      </w:r>
      <w:proofErr w:type="spellEnd"/>
      <w:r w:rsidRPr="00511200">
        <w:t xml:space="preserve"> </w:t>
      </w:r>
      <w:proofErr w:type="spellStart"/>
      <w:r w:rsidRPr="00511200">
        <w:t>Sotiraki</w:t>
      </w:r>
      <w:proofErr w:type="spellEnd"/>
      <w:r w:rsidRPr="00511200">
        <w:t xml:space="preserve">, Alexandros </w:t>
      </w:r>
      <w:proofErr w:type="spellStart"/>
      <w:r w:rsidRPr="00511200">
        <w:t>Stefanakis</w:t>
      </w:r>
      <w:proofErr w:type="spellEnd"/>
      <w:r w:rsidRPr="00511200">
        <w:t xml:space="preserve">, </w:t>
      </w:r>
      <w:proofErr w:type="spellStart"/>
      <w:r w:rsidRPr="00511200">
        <w:t>Halil</w:t>
      </w:r>
      <w:proofErr w:type="spellEnd"/>
      <w:r w:rsidRPr="00511200">
        <w:t xml:space="preserve"> </w:t>
      </w:r>
      <w:proofErr w:type="spellStart"/>
      <w:r w:rsidRPr="00511200">
        <w:t>Yolcu</w:t>
      </w:r>
      <w:proofErr w:type="spellEnd"/>
      <w:r w:rsidRPr="00511200">
        <w:t xml:space="preserve">, </w:t>
      </w:r>
      <w:proofErr w:type="spellStart"/>
      <w:r w:rsidRPr="00511200">
        <w:t>Sokratis</w:t>
      </w:r>
      <w:proofErr w:type="spellEnd"/>
      <w:r w:rsidRPr="00511200">
        <w:t xml:space="preserve"> </w:t>
      </w:r>
      <w:proofErr w:type="spellStart"/>
      <w:r w:rsidRPr="00511200">
        <w:t>Stergiadis</w:t>
      </w:r>
      <w:proofErr w:type="spellEnd"/>
      <w:r w:rsidRPr="00511200">
        <w:t xml:space="preserve">, Eleni </w:t>
      </w:r>
      <w:proofErr w:type="spellStart"/>
      <w:r w:rsidRPr="00511200">
        <w:t>Chatzidimitriou</w:t>
      </w:r>
      <w:proofErr w:type="spellEnd"/>
      <w:r w:rsidRPr="00511200">
        <w:t xml:space="preserve">, Gillian Butler, Gavin Stewart and Carlo </w:t>
      </w:r>
      <w:proofErr w:type="spellStart"/>
      <w:r w:rsidRPr="00511200">
        <w:t>Leifert</w:t>
      </w:r>
      <w:proofErr w:type="spellEnd"/>
      <w:r w:rsidRPr="00511200">
        <w:t xml:space="preserve"> (2016): Higher PUFA and n-3</w:t>
      </w:r>
      <w:r>
        <w:t xml:space="preserve"> PUFA, CLA, </w:t>
      </w:r>
      <w:r w:rsidRPr="00D340A5">
        <w:rPr>
          <w:rFonts w:hint="eastAsia"/>
        </w:rPr>
        <w:t>α</w:t>
      </w:r>
      <w:r>
        <w:t xml:space="preserve">-tocopherol and iron, but lower iodine and selenium concentrations in organic milk: a systematic </w:t>
      </w:r>
      <w:r w:rsidR="00AD0BDF">
        <w:t>literature review</w:t>
      </w:r>
      <w:r w:rsidRPr="00D340A5">
        <w:t xml:space="preserve"> </w:t>
      </w:r>
      <w:r>
        <w:t xml:space="preserve">and meta- and redundancy analyses. </w:t>
      </w:r>
      <w:r w:rsidR="00F830DB" w:rsidRPr="00D340A5">
        <w:t>British Journal of Nutrition, page 1 of 18 doi:10.1017/S0007114516000349</w:t>
      </w:r>
    </w:p>
    <w:p w:rsidR="000C1924" w:rsidRDefault="00F830DB" w:rsidP="008D67BF">
      <w:pPr>
        <w:pStyle w:val="Fiblzusatzinfo"/>
      </w:pPr>
      <w:r>
        <w:lastRenderedPageBreak/>
        <w:t>Weblinks</w:t>
      </w:r>
    </w:p>
    <w:p w:rsidR="000C1924" w:rsidRDefault="00AD0BDF" w:rsidP="005C52B6">
      <w:pPr>
        <w:pStyle w:val="fiblaufzaehlungzusatz"/>
        <w:rPr>
          <w:lang w:val="de-CH"/>
        </w:rPr>
      </w:pPr>
      <w:r w:rsidRPr="00EF14AC">
        <w:rPr>
          <w:lang w:val="de-CH"/>
        </w:rPr>
        <w:t>Medieninform</w:t>
      </w:r>
      <w:r w:rsidR="00EF14AC" w:rsidRPr="00EF14AC">
        <w:rPr>
          <w:lang w:val="de-CH"/>
        </w:rPr>
        <w:t>ationen</w:t>
      </w:r>
      <w:r w:rsidR="0032537E">
        <w:rPr>
          <w:lang w:val="de-CH"/>
        </w:rPr>
        <w:t xml:space="preserve"> (in Englisch)</w:t>
      </w:r>
      <w:r w:rsidRPr="00EF14AC">
        <w:rPr>
          <w:lang w:val="de-CH"/>
        </w:rPr>
        <w:t xml:space="preserve">: </w:t>
      </w:r>
      <w:hyperlink r:id="rId16" w:history="1">
        <w:r w:rsidR="002D15ED" w:rsidRPr="00EF14AC">
          <w:rPr>
            <w:rStyle w:val="Hyperlink"/>
            <w:lang w:val="de-CH"/>
          </w:rPr>
          <w:t>http://research.ncl.ac.uk/nefg/QOF/page.php?page=1</w:t>
        </w:r>
      </w:hyperlink>
      <w:r w:rsidR="00EF14AC">
        <w:rPr>
          <w:lang w:val="de-CH"/>
        </w:rPr>
        <w:t>:</w:t>
      </w:r>
    </w:p>
    <w:p w:rsidR="00EF14AC" w:rsidRDefault="00EF14AC" w:rsidP="00E73748">
      <w:pPr>
        <w:pStyle w:val="fiblaufzaehlungzusatz"/>
        <w:rPr>
          <w:lang w:val="de-CH"/>
        </w:rPr>
      </w:pPr>
      <w:r w:rsidRPr="00EF14AC">
        <w:rPr>
          <w:lang w:val="de-CH"/>
        </w:rPr>
        <w:t xml:space="preserve">Materialien zur Studie </w:t>
      </w:r>
      <w:r w:rsidRPr="00EF14AC">
        <w:rPr>
          <w:rFonts w:hint="eastAsia"/>
          <w:lang w:val="de-CH"/>
        </w:rPr>
        <w:t>ü</w:t>
      </w:r>
      <w:r w:rsidRPr="00EF14AC">
        <w:rPr>
          <w:lang w:val="de-CH"/>
        </w:rPr>
        <w:t>ber Biomilchqualit</w:t>
      </w:r>
      <w:r w:rsidRPr="00EF14AC">
        <w:rPr>
          <w:rFonts w:hint="eastAsia"/>
          <w:lang w:val="de-CH"/>
        </w:rPr>
        <w:t>ä</w:t>
      </w:r>
      <w:r w:rsidRPr="00EF14AC">
        <w:rPr>
          <w:lang w:val="de-CH"/>
        </w:rPr>
        <w:t>t</w:t>
      </w:r>
      <w:r>
        <w:rPr>
          <w:lang w:val="de-CH"/>
        </w:rPr>
        <w:t xml:space="preserve">: </w:t>
      </w:r>
      <w:hyperlink r:id="rId17" w:history="1">
        <w:r w:rsidR="00E73748" w:rsidRPr="005952B0">
          <w:rPr>
            <w:rStyle w:val="Hyperlink"/>
            <w:lang w:val="de-CH"/>
          </w:rPr>
          <w:t>http://research.ncl.ac.uk/nefg/QOF/dairy/page.php?LAN=DE</w:t>
        </w:r>
      </w:hyperlink>
    </w:p>
    <w:p w:rsidR="00EF14AC" w:rsidRDefault="00EF14AC" w:rsidP="00E73748">
      <w:pPr>
        <w:pStyle w:val="fiblaufzaehlungzusatz"/>
        <w:rPr>
          <w:lang w:val="de-CH"/>
        </w:rPr>
      </w:pPr>
      <w:r w:rsidRPr="00EF14AC">
        <w:rPr>
          <w:lang w:val="de-CH"/>
        </w:rPr>
        <w:t xml:space="preserve">Materialien zur Studie </w:t>
      </w:r>
      <w:r w:rsidRPr="00EF14AC">
        <w:rPr>
          <w:rFonts w:hint="eastAsia"/>
          <w:lang w:val="de-CH"/>
        </w:rPr>
        <w:t>ü</w:t>
      </w:r>
      <w:r w:rsidRPr="00EF14AC">
        <w:rPr>
          <w:lang w:val="de-CH"/>
        </w:rPr>
        <w:t>ber Biofleischqualit</w:t>
      </w:r>
      <w:r w:rsidRPr="00EF14AC">
        <w:rPr>
          <w:rFonts w:hint="eastAsia"/>
          <w:lang w:val="de-CH"/>
        </w:rPr>
        <w:t>ä</w:t>
      </w:r>
      <w:r w:rsidRPr="00EF14AC">
        <w:rPr>
          <w:lang w:val="de-CH"/>
        </w:rPr>
        <w:t>t</w:t>
      </w:r>
      <w:r>
        <w:rPr>
          <w:lang w:val="de-CH"/>
        </w:rPr>
        <w:t>:</w:t>
      </w:r>
      <w:r w:rsidRPr="00EF14AC">
        <w:rPr>
          <w:lang w:val="de-CH"/>
        </w:rPr>
        <w:t xml:space="preserve"> </w:t>
      </w:r>
      <w:hyperlink r:id="rId18" w:history="1">
        <w:r w:rsidR="00E07B9A" w:rsidRPr="005952B0">
          <w:rPr>
            <w:rStyle w:val="Hyperlink"/>
            <w:lang w:val="de-CH"/>
          </w:rPr>
          <w:t>http://research.ncl.ac.uk/nefg/QOF/meat/page.php?LAN=DE</w:t>
        </w:r>
      </w:hyperlink>
    </w:p>
    <w:p w:rsidR="00323DCE" w:rsidRDefault="00BC69B1" w:rsidP="008D67BF">
      <w:pPr>
        <w:pStyle w:val="Fiblzusatzinfo"/>
      </w:pPr>
      <w:r>
        <w:t>Diese Medienmitteilung im Internet</w:t>
      </w:r>
    </w:p>
    <w:p w:rsidR="009F0658" w:rsidRPr="000154CC" w:rsidRDefault="00BC69B1" w:rsidP="00575409">
      <w:pPr>
        <w:pStyle w:val="Fiblstandard"/>
      </w:pPr>
      <w:r>
        <w:t>Sie finden diese Medienmitteilung einschliesslich Bilder und Hintergrund</w:t>
      </w:r>
      <w:smartTag w:uri="urn:schemas-microsoft-com:office:smarttags" w:element="PersonName">
        <w:r>
          <w:t>info</w:t>
        </w:r>
      </w:smartTag>
      <w:r>
        <w:t>rmationen im Internet unter</w:t>
      </w:r>
      <w:r w:rsidR="00F9729D">
        <w:t xml:space="preserve"> </w:t>
      </w:r>
      <w:hyperlink r:id="rId19" w:history="1">
        <w:r w:rsidR="00F9729D" w:rsidRPr="00A86B70">
          <w:rPr>
            <w:rStyle w:val="Hyperlink"/>
          </w:rPr>
          <w:t>http://www.fibl.org/de/medien.html</w:t>
        </w:r>
      </w:hyperlink>
      <w:r w:rsidR="00F9729D">
        <w:t xml:space="preserve"> </w:t>
      </w:r>
    </w:p>
    <w:sectPr w:rsidR="009F0658" w:rsidRPr="000154CC"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2A" w:rsidRDefault="004A232A" w:rsidP="006666A6">
      <w:pPr>
        <w:pStyle w:val="Fuzeile"/>
      </w:pPr>
      <w:r>
        <w:separator/>
      </w:r>
    </w:p>
  </w:endnote>
  <w:endnote w:type="continuationSeparator" w:id="0">
    <w:p w:rsidR="004A232A" w:rsidRDefault="004A232A"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Times New Roman"/>
    <w:charset w:val="00"/>
    <w:family w:val="auto"/>
    <w:pitch w:val="default"/>
  </w:font>
  <w:font w:name="Formata Bold">
    <w:altName w:val="Courier New"/>
    <w:charset w:val="00"/>
    <w:family w:val="auto"/>
    <w:pitch w:val="variable"/>
    <w:sig w:usb0="03000003" w:usb1="00000000" w:usb2="00000000" w:usb3="00000000" w:csb0="00000001" w:csb1="00000000"/>
  </w:font>
  <w:font w:name="AdvOT8608a8d1+01">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AdvOT8608a8d1+03">
    <w:altName w:val="MS Mincho"/>
    <w:panose1 w:val="00000000000000000000"/>
    <w:charset w:val="80"/>
    <w:family w:val="auto"/>
    <w:notTrueType/>
    <w:pitch w:val="default"/>
    <w:sig w:usb0="00000001" w:usb1="08070000" w:usb2="00000010" w:usb3="00000000" w:csb0="00020000" w:csb1="00000000"/>
  </w:font>
  <w:font w:name="AdvOT777cf4f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pPr>
      <w:jc w:val="center"/>
    </w:pPr>
    <w:r>
      <w:rPr>
        <w:noProof/>
        <w:sz w:val="20"/>
        <w:lang w:eastAsia="de-CH"/>
      </w:rPr>
      <mc:AlternateContent>
        <mc:Choice Requires="wps">
          <w:drawing>
            <wp:anchor distT="0" distB="0" distL="114300" distR="114300" simplePos="0" relativeHeight="251654144" behindDoc="0" locked="0" layoutInCell="1" allowOverlap="0" wp14:anchorId="2ADD191B" wp14:editId="7F18FD3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D191B"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sidP="0077182D">
    <w:pPr>
      <w:pStyle w:val="FiblKopfzeile"/>
      <w:tabs>
        <w:tab w:val="clear" w:pos="4536"/>
        <w:tab w:val="clear" w:pos="9072"/>
        <w:tab w:val="right" w:pos="7597"/>
        <w:tab w:val="right" w:pos="8931"/>
      </w:tabs>
      <w:jc w:val="left"/>
    </w:pPr>
    <w:r w:rsidRPr="00D23445">
      <w:rPr>
        <w:noProof/>
        <w:lang w:eastAsia="de-CH"/>
      </w:rPr>
      <mc:AlternateContent>
        <mc:Choice Requires="wps">
          <w:drawing>
            <wp:anchor distT="0" distB="0" distL="114300" distR="114300" simplePos="0" relativeHeight="251657728" behindDoc="0" locked="0" layoutInCell="1" allowOverlap="1" wp14:anchorId="6758160E" wp14:editId="3952F619">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160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D23445">
      <w:rPr>
        <w:noProof/>
        <w:lang w:eastAsia="de-CH"/>
      </w:rPr>
      <w:drawing>
        <wp:anchor distT="0" distB="0" distL="114300" distR="114300" simplePos="0" relativeHeight="251660800" behindDoc="1" locked="1" layoutInCell="1" allowOverlap="1" wp14:anchorId="3EB7DCD9" wp14:editId="2EA03A6A">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D23445">
      <w:rPr>
        <w:noProof/>
        <w:lang w:eastAsia="de-CH"/>
      </w:rPr>
      <mc:AlternateContent>
        <mc:Choice Requires="wps">
          <w:drawing>
            <wp:anchor distT="0" distB="0" distL="114300" distR="114300" simplePos="0" relativeHeight="251654656" behindDoc="0" locked="0" layoutInCell="1" allowOverlap="1" wp14:anchorId="53EDB638" wp14:editId="617467A5">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B638" id="Text Box 10" o:spid="_x0000_s1029" type="#_x0000_t202" style="position:absolute;margin-left:107.75pt;margin-top:749.85pt;width:256.3pt;height:34.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881732" w:rsidRPr="00D23445">
      <w:t xml:space="preserve">Medienmitteilung vom </w:t>
    </w:r>
    <w:r w:rsidR="00881732" w:rsidRPr="00D23445">
      <w:fldChar w:fldCharType="begin"/>
    </w:r>
    <w:r w:rsidR="00881732" w:rsidRPr="00D23445">
      <w:instrText xml:space="preserve"> SAVEDATE  \@ "dd.MM.yyyy"  \* MERGEFORMAT </w:instrText>
    </w:r>
    <w:r w:rsidR="00881732" w:rsidRPr="00D23445">
      <w:fldChar w:fldCharType="separate"/>
    </w:r>
    <w:r w:rsidR="00152712">
      <w:rPr>
        <w:noProof/>
      </w:rPr>
      <w:t>16.02.2016</w:t>
    </w:r>
    <w:r w:rsidR="00881732" w:rsidRPr="00D23445">
      <w:fldChar w:fldCharType="end"/>
    </w:r>
    <w:r w:rsidR="00881732" w:rsidRPr="00D23445">
      <w:tab/>
    </w:r>
    <w:r w:rsidR="009F0658" w:rsidRPr="00D23445">
      <w:tab/>
    </w:r>
    <w:r w:rsidR="00881732" w:rsidRPr="00D23445">
      <w:t xml:space="preserve">Seite </w:t>
    </w:r>
    <w:r w:rsidR="00881732" w:rsidRPr="00D23445">
      <w:fldChar w:fldCharType="begin"/>
    </w:r>
    <w:r w:rsidR="00881732" w:rsidRPr="00D23445">
      <w:instrText xml:space="preserve"> PAGE </w:instrText>
    </w:r>
    <w:r w:rsidR="00881732" w:rsidRPr="00D23445">
      <w:fldChar w:fldCharType="separate"/>
    </w:r>
    <w:r w:rsidR="00152712">
      <w:rPr>
        <w:noProof/>
      </w:rPr>
      <w:t>1</w:t>
    </w:r>
    <w:r w:rsidR="00881732" w:rsidRPr="00D2344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Pr="009F0658" w:rsidRDefault="009F0658" w:rsidP="009F0658">
    <w:pPr>
      <w:pStyle w:val="FiblKopfzeile"/>
      <w:tabs>
        <w:tab w:val="clear" w:pos="4536"/>
        <w:tab w:val="clear" w:pos="9072"/>
        <w:tab w:val="right" w:pos="7597"/>
        <w:tab w:val="right" w:pos="8931"/>
      </w:tabs>
      <w:jc w:val="left"/>
    </w:pPr>
    <w:r w:rsidRPr="00D23445">
      <w:t xml:space="preserve">Medienmitteilung vom </w:t>
    </w:r>
    <w:r w:rsidRPr="00D23445">
      <w:fldChar w:fldCharType="begin"/>
    </w:r>
    <w:r w:rsidRPr="00D23445">
      <w:instrText xml:space="preserve"> SAVEDATE  \@ "dd.MM.yyyy"  \* MERGEFORMAT </w:instrText>
    </w:r>
    <w:r w:rsidRPr="00D23445">
      <w:fldChar w:fldCharType="separate"/>
    </w:r>
    <w:r w:rsidR="00152712">
      <w:rPr>
        <w:noProof/>
      </w:rPr>
      <w:t>16.02.2016</w:t>
    </w:r>
    <w:r w:rsidRPr="00D23445">
      <w:fldChar w:fldCharType="end"/>
    </w:r>
    <w:r w:rsidRPr="00D23445">
      <w:tab/>
    </w:r>
    <w:r w:rsidRPr="00D23445">
      <w:tab/>
      <w:t xml:space="preserve">Seite </w:t>
    </w:r>
    <w:r w:rsidRPr="00D23445">
      <w:fldChar w:fldCharType="begin"/>
    </w:r>
    <w:r w:rsidRPr="00D23445">
      <w:instrText xml:space="preserve"> PAGE </w:instrText>
    </w:r>
    <w:r w:rsidRPr="00D23445">
      <w:fldChar w:fldCharType="separate"/>
    </w:r>
    <w:r w:rsidR="00152712">
      <w:rPr>
        <w:noProof/>
      </w:rPr>
      <w:t>3</w:t>
    </w:r>
    <w:r w:rsidRPr="00D2344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2A" w:rsidRDefault="004A232A" w:rsidP="006666A6">
      <w:pPr>
        <w:pStyle w:val="Fuzeile"/>
      </w:pPr>
      <w:r>
        <w:separator/>
      </w:r>
    </w:p>
  </w:footnote>
  <w:footnote w:type="continuationSeparator" w:id="0">
    <w:p w:rsidR="004A232A" w:rsidRDefault="004A232A"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sz w:val="20"/>
        <w:lang w:eastAsia="de-CH"/>
      </w:rPr>
      <w:drawing>
        <wp:anchor distT="0" distB="0" distL="114300" distR="114300" simplePos="0" relativeHeight="251653120" behindDoc="0" locked="0" layoutInCell="1" allowOverlap="1" wp14:anchorId="2ECE1C2E" wp14:editId="341BD592">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lang w:eastAsia="de-CH"/>
      </w:rPr>
      <mc:AlternateContent>
        <mc:Choice Requires="wps">
          <w:drawing>
            <wp:anchor distT="0" distB="0" distL="114300" distR="114300" simplePos="0" relativeHeight="251661312" behindDoc="0" locked="0" layoutInCell="1" allowOverlap="1" wp14:anchorId="7CB63F93" wp14:editId="76B1F77D">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B5A9"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eastAsia="de-CH"/>
      </w:rPr>
      <mc:AlternateContent>
        <mc:Choice Requires="wps">
          <w:drawing>
            <wp:anchor distT="0" distB="0" distL="114300" distR="114300" simplePos="0" relativeHeight="251662336" behindDoc="0" locked="1" layoutInCell="1" allowOverlap="1" wp14:anchorId="247077D0" wp14:editId="09B134B7">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77D0"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eastAsia="de-CH"/>
      </w:rPr>
      <w:drawing>
        <wp:anchor distT="0" distB="0" distL="114300" distR="114300" simplePos="0" relativeHeight="251656192" behindDoc="1" locked="0" layoutInCell="1" allowOverlap="1" wp14:anchorId="6E401543" wp14:editId="2B7CA1CE">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lang w:eastAsia="de-CH"/>
      </w:rPr>
      <w:drawing>
        <wp:anchor distT="0" distB="0" distL="114300" distR="114300" simplePos="0" relativeHeight="251660288" behindDoc="1" locked="0" layoutInCell="1" allowOverlap="1" wp14:anchorId="49B914F5" wp14:editId="5C65EA0C">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pPr>
      <w:jc w:val="center"/>
      <w:rPr>
        <w:rFonts w:ascii="FormataBQ-Cond" w:hAnsi="FormataBQ-Cond"/>
        <w:sz w:val="22"/>
        <w:szCs w:val="22"/>
      </w:rPr>
    </w:pPr>
    <w:r>
      <w:rPr>
        <w:rFonts w:ascii="FormataBQ-Cond" w:hAnsi="FormataBQ-Cond"/>
        <w:noProof/>
        <w:sz w:val="22"/>
        <w:szCs w:val="22"/>
        <w:lang w:eastAsia="de-CH"/>
      </w:rPr>
      <w:drawing>
        <wp:anchor distT="0" distB="0" distL="114300" distR="114300" simplePos="0" relativeHeight="251655168" behindDoc="0" locked="0" layoutInCell="1" allowOverlap="1" wp14:anchorId="4CD0AF8A" wp14:editId="7CEB3186">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4D79"/>
    <w:multiLevelType w:val="hybridMultilevel"/>
    <w:tmpl w:val="8A2AFF18"/>
    <w:lvl w:ilvl="0" w:tplc="FED86E82">
      <w:start w:val="1"/>
      <w:numFmt w:val="bullet"/>
      <w:lvlText w:val=""/>
      <w:lvlJc w:val="left"/>
      <w:pPr>
        <w:ind w:left="720" w:hanging="360"/>
      </w:pPr>
      <w:rPr>
        <w:rFonts w:ascii="Symbol" w:hAnsi="Symbo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4414128"/>
    <w:multiLevelType w:val="multilevel"/>
    <w:tmpl w:val="83782D42"/>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10"/>
  </w:num>
  <w:num w:numId="7">
    <w:abstractNumId w:val="0"/>
  </w:num>
  <w:num w:numId="8">
    <w:abstractNumId w:val="1"/>
  </w:num>
  <w:num w:numId="9">
    <w:abstractNumId w:val="8"/>
  </w:num>
  <w:num w:numId="10">
    <w:abstractNumId w:val="9"/>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154CC"/>
    <w:rsid w:val="00064CFB"/>
    <w:rsid w:val="000663CA"/>
    <w:rsid w:val="00081A95"/>
    <w:rsid w:val="000C1924"/>
    <w:rsid w:val="000E7076"/>
    <w:rsid w:val="00112739"/>
    <w:rsid w:val="0012464E"/>
    <w:rsid w:val="001336F8"/>
    <w:rsid w:val="00152712"/>
    <w:rsid w:val="00185063"/>
    <w:rsid w:val="001B41A1"/>
    <w:rsid w:val="001B6565"/>
    <w:rsid w:val="001F1771"/>
    <w:rsid w:val="00202A8E"/>
    <w:rsid w:val="00203DE3"/>
    <w:rsid w:val="00223D4A"/>
    <w:rsid w:val="00240469"/>
    <w:rsid w:val="002C2FA9"/>
    <w:rsid w:val="002D15ED"/>
    <w:rsid w:val="003052EE"/>
    <w:rsid w:val="003054C9"/>
    <w:rsid w:val="00323DCE"/>
    <w:rsid w:val="0032537E"/>
    <w:rsid w:val="003262F6"/>
    <w:rsid w:val="00342AAA"/>
    <w:rsid w:val="00347006"/>
    <w:rsid w:val="0037248D"/>
    <w:rsid w:val="00374143"/>
    <w:rsid w:val="0037739A"/>
    <w:rsid w:val="00387030"/>
    <w:rsid w:val="003B588E"/>
    <w:rsid w:val="003D1605"/>
    <w:rsid w:val="00400ABB"/>
    <w:rsid w:val="0041438C"/>
    <w:rsid w:val="00424148"/>
    <w:rsid w:val="00441114"/>
    <w:rsid w:val="00465681"/>
    <w:rsid w:val="004A232A"/>
    <w:rsid w:val="004A367F"/>
    <w:rsid w:val="004D3634"/>
    <w:rsid w:val="004D6F33"/>
    <w:rsid w:val="004F3831"/>
    <w:rsid w:val="00511200"/>
    <w:rsid w:val="00527B26"/>
    <w:rsid w:val="00575409"/>
    <w:rsid w:val="00585DD0"/>
    <w:rsid w:val="005C1836"/>
    <w:rsid w:val="005C58EB"/>
    <w:rsid w:val="005F166E"/>
    <w:rsid w:val="00614350"/>
    <w:rsid w:val="006666A6"/>
    <w:rsid w:val="00673338"/>
    <w:rsid w:val="00680859"/>
    <w:rsid w:val="0069333D"/>
    <w:rsid w:val="006A7B1D"/>
    <w:rsid w:val="00725D09"/>
    <w:rsid w:val="0077182D"/>
    <w:rsid w:val="00773A86"/>
    <w:rsid w:val="00790F0D"/>
    <w:rsid w:val="00797742"/>
    <w:rsid w:val="00801A46"/>
    <w:rsid w:val="00824B22"/>
    <w:rsid w:val="008548FF"/>
    <w:rsid w:val="00881732"/>
    <w:rsid w:val="008B4918"/>
    <w:rsid w:val="008C04B0"/>
    <w:rsid w:val="008D67BF"/>
    <w:rsid w:val="0093171C"/>
    <w:rsid w:val="0095095A"/>
    <w:rsid w:val="00961956"/>
    <w:rsid w:val="00992AC2"/>
    <w:rsid w:val="009F0658"/>
    <w:rsid w:val="00A566A6"/>
    <w:rsid w:val="00AD0BDF"/>
    <w:rsid w:val="00AD13C8"/>
    <w:rsid w:val="00AD7471"/>
    <w:rsid w:val="00AF6D01"/>
    <w:rsid w:val="00B27B6B"/>
    <w:rsid w:val="00B61A2A"/>
    <w:rsid w:val="00BC4DAC"/>
    <w:rsid w:val="00BC69B1"/>
    <w:rsid w:val="00C31782"/>
    <w:rsid w:val="00C31C41"/>
    <w:rsid w:val="00C31FA2"/>
    <w:rsid w:val="00C35894"/>
    <w:rsid w:val="00C36DF4"/>
    <w:rsid w:val="00C42E6A"/>
    <w:rsid w:val="00C4329B"/>
    <w:rsid w:val="00C63079"/>
    <w:rsid w:val="00C70471"/>
    <w:rsid w:val="00C76153"/>
    <w:rsid w:val="00C96DD7"/>
    <w:rsid w:val="00CA08E9"/>
    <w:rsid w:val="00CA0E00"/>
    <w:rsid w:val="00CB717A"/>
    <w:rsid w:val="00CD6840"/>
    <w:rsid w:val="00D1233F"/>
    <w:rsid w:val="00D23445"/>
    <w:rsid w:val="00D33EB5"/>
    <w:rsid w:val="00D340A5"/>
    <w:rsid w:val="00D40ADC"/>
    <w:rsid w:val="00D930F7"/>
    <w:rsid w:val="00DA1F0E"/>
    <w:rsid w:val="00DE0AAF"/>
    <w:rsid w:val="00E00FE8"/>
    <w:rsid w:val="00E07B9A"/>
    <w:rsid w:val="00E322D4"/>
    <w:rsid w:val="00E710F6"/>
    <w:rsid w:val="00E73748"/>
    <w:rsid w:val="00EA3A8C"/>
    <w:rsid w:val="00EA3B2A"/>
    <w:rsid w:val="00EB5766"/>
    <w:rsid w:val="00EB7029"/>
    <w:rsid w:val="00EC3ABE"/>
    <w:rsid w:val="00EF14AC"/>
    <w:rsid w:val="00F22C59"/>
    <w:rsid w:val="00F27874"/>
    <w:rsid w:val="00F27CB3"/>
    <w:rsid w:val="00F771A8"/>
    <w:rsid w:val="00F830DB"/>
    <w:rsid w:val="00F9729D"/>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5:docId w15:val="{FB4B28CF-DEE5-4B92-9AB9-713E5AE1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D340A5"/>
    <w:pPr>
      <w:numPr>
        <w:numId w:val="11"/>
      </w:numPr>
    </w:pPr>
    <w:rPr>
      <w:rFonts w:cs="AdvOT8608a8d1+01"/>
      <w:lang w:val="en-GB" w:eastAsia="de-CH"/>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styleId="Listenabsatz">
    <w:name w:val="List Paragraph"/>
    <w:basedOn w:val="Standard"/>
    <w:uiPriority w:val="34"/>
    <w:qFormat/>
    <w:rsid w:val="00C35894"/>
    <w:pPr>
      <w:spacing w:after="200" w:line="276" w:lineRule="auto"/>
      <w:ind w:left="720"/>
      <w:contextualSpacing/>
    </w:pPr>
    <w:rPr>
      <w:rFonts w:asciiTheme="minorHAnsi" w:eastAsiaTheme="minorEastAsia" w:hAnsiTheme="minorHAnsi" w:cstheme="minorBidi"/>
      <w:color w:val="auto"/>
      <w:sz w:val="22"/>
      <w:szCs w:val="22"/>
      <w:lang w:val="en-GB" w:eastAsia="zh-CN"/>
    </w:rPr>
  </w:style>
  <w:style w:type="character" w:styleId="Kommentarzeichen">
    <w:name w:val="annotation reference"/>
    <w:basedOn w:val="Absatz-Standardschriftart"/>
    <w:rsid w:val="00C70471"/>
    <w:rPr>
      <w:sz w:val="16"/>
      <w:szCs w:val="16"/>
    </w:rPr>
  </w:style>
  <w:style w:type="paragraph" w:styleId="Kommentartext">
    <w:name w:val="annotation text"/>
    <w:basedOn w:val="Standard"/>
    <w:link w:val="KommentartextZchn"/>
    <w:rsid w:val="00C70471"/>
    <w:pPr>
      <w:spacing w:line="240" w:lineRule="auto"/>
    </w:pPr>
    <w:rPr>
      <w:sz w:val="20"/>
    </w:rPr>
  </w:style>
  <w:style w:type="character" w:customStyle="1" w:styleId="KommentartextZchn">
    <w:name w:val="Kommentartext Zchn"/>
    <w:basedOn w:val="Absatz-Standardschriftart"/>
    <w:link w:val="Kommentartext"/>
    <w:rsid w:val="00C70471"/>
    <w:rPr>
      <w:rFonts w:ascii="Formata Regular" w:hAnsi="Formata Regular"/>
      <w:color w:val="000000"/>
      <w:lang w:eastAsia="de-DE"/>
    </w:rPr>
  </w:style>
  <w:style w:type="paragraph" w:styleId="Kommentarthema">
    <w:name w:val="annotation subject"/>
    <w:basedOn w:val="Kommentartext"/>
    <w:next w:val="Kommentartext"/>
    <w:link w:val="KommentarthemaZchn"/>
    <w:rsid w:val="00C70471"/>
    <w:rPr>
      <w:b/>
      <w:bCs/>
    </w:rPr>
  </w:style>
  <w:style w:type="character" w:customStyle="1" w:styleId="KommentarthemaZchn">
    <w:name w:val="Kommentarthema Zchn"/>
    <w:basedOn w:val="KommentartextZchn"/>
    <w:link w:val="Kommentarthema"/>
    <w:rsid w:val="00C70471"/>
    <w:rPr>
      <w:rFonts w:ascii="Formata Regular" w:hAnsi="Formata Regular"/>
      <w:b/>
      <w:bCs/>
      <w:color w:val="000000"/>
      <w:lang w:eastAsia="de-DE"/>
    </w:rPr>
  </w:style>
  <w:style w:type="paragraph" w:styleId="berarbeitung">
    <w:name w:val="Revision"/>
    <w:hidden/>
    <w:uiPriority w:val="99"/>
    <w:semiHidden/>
    <w:rsid w:val="005C1836"/>
    <w:rPr>
      <w:rFonts w:ascii="Formata Regular" w:hAnsi="Formata Regular"/>
      <w:color w:val="000000"/>
      <w:sz w:val="24"/>
      <w:lang w:eastAsia="de-DE"/>
    </w:rPr>
  </w:style>
  <w:style w:type="character" w:styleId="BesuchterHyperlink">
    <w:name w:val="FollowedHyperlink"/>
    <w:basedOn w:val="Absatz-Standardschriftart"/>
    <w:semiHidden/>
    <w:unhideWhenUsed/>
    <w:rsid w:val="00EF1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research.ncl.ac.uk/nefg/QOF/meat/page.php?LAN=D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research.ncl.ac.uk/nefg/QOF/dairy/page.php?LAN=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search.ncl.ac.uk/nefg/QOF/page.php?page=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ranziska.haemmerli@fibl.org"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fibl.org/de/medi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omas.alfoeldi@fibl.org"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0ECB-6144-469C-96A8-CF592334C302}">
  <ds:schemaRefs>
    <ds:schemaRef ds:uri="http://schemas.microsoft.com/office/2006/documentManagement/types"/>
    <ds:schemaRef ds:uri="9bda9346-f9d5-44ba-b0bd-099e10c918fb"/>
    <ds:schemaRef ds:uri="http://purl.org/dc/term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AFE5030-010D-459B-BE60-A3794AB72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5245</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karin.nowack</dc:creator>
  <cp:lastModifiedBy>Basler Andreas</cp:lastModifiedBy>
  <cp:revision>22</cp:revision>
  <cp:lastPrinted>2016-02-16T14:20:00Z</cp:lastPrinted>
  <dcterms:created xsi:type="dcterms:W3CDTF">2016-02-16T10:40:00Z</dcterms:created>
  <dcterms:modified xsi:type="dcterms:W3CDTF">2016-02-16T14:20:00Z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