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D7" w:rsidRDefault="00016A62" w:rsidP="003F7812">
      <w:pPr>
        <w:pStyle w:val="demonetberschrift1"/>
        <w:sectPr w:rsidR="00364FD7" w:rsidSect="00B607DC">
          <w:headerReference w:type="default" r:id="rId8"/>
          <w:footerReference w:type="default" r:id="rId9"/>
          <w:pgSz w:w="11906" w:h="16838"/>
          <w:pgMar w:top="1440" w:right="1080" w:bottom="1440" w:left="1080" w:header="708" w:footer="708" w:gutter="0"/>
          <w:cols w:space="708"/>
          <w:docGrid w:linePitch="360"/>
        </w:sectPr>
      </w:pPr>
      <w:r>
        <w:t>Erbsen und Bohnen anbauen und verwerten</w:t>
      </w:r>
    </w:p>
    <w:p w:rsidR="00016A62" w:rsidRPr="00113B65" w:rsidRDefault="00016A62" w:rsidP="000173E4">
      <w:pPr>
        <w:pStyle w:val="demonetheader"/>
        <w:jc w:val="both"/>
      </w:pPr>
      <w:r w:rsidRPr="00113B65">
        <w:lastRenderedPageBreak/>
        <w:t xml:space="preserve">(Frankfurt, </w:t>
      </w:r>
      <w:r w:rsidR="00BF0E67">
        <w:t>31</w:t>
      </w:r>
      <w:r w:rsidRPr="00113B65">
        <w:t xml:space="preserve">. Mai 2016) Die </w:t>
      </w:r>
      <w:proofErr w:type="spellStart"/>
      <w:r w:rsidRPr="00113B65">
        <w:t>meisten</w:t>
      </w:r>
      <w:proofErr w:type="spellEnd"/>
      <w:r w:rsidRPr="00113B65">
        <w:t xml:space="preserve"> der 75 </w:t>
      </w:r>
      <w:proofErr w:type="spellStart"/>
      <w:r w:rsidRPr="00113B65">
        <w:t>Demo</w:t>
      </w:r>
      <w:r>
        <w:t>betriebe</w:t>
      </w:r>
      <w:proofErr w:type="spellEnd"/>
      <w:r>
        <w:t xml:space="preserve"> </w:t>
      </w:r>
      <w:proofErr w:type="spellStart"/>
      <w:r>
        <w:t>für</w:t>
      </w:r>
      <w:proofErr w:type="spellEnd"/>
      <w:r>
        <w:t xml:space="preserve"> </w:t>
      </w:r>
      <w:proofErr w:type="spellStart"/>
      <w:r>
        <w:t>das</w:t>
      </w:r>
      <w:proofErr w:type="spellEnd"/>
      <w:r>
        <w:t xml:space="preserve"> </w:t>
      </w:r>
      <w:proofErr w:type="spellStart"/>
      <w:r>
        <w:t>Demonstrations</w:t>
      </w:r>
      <w:r w:rsidRPr="00113B65">
        <w:t>netzwerk</w:t>
      </w:r>
      <w:proofErr w:type="spellEnd"/>
      <w:r w:rsidRPr="00113B65">
        <w:t xml:space="preserve"> </w:t>
      </w:r>
      <w:proofErr w:type="spellStart"/>
      <w:r w:rsidRPr="00113B65">
        <w:t>Erbse</w:t>
      </w:r>
      <w:proofErr w:type="spellEnd"/>
      <w:r w:rsidRPr="00113B65">
        <w:t xml:space="preserve"> / </w:t>
      </w:r>
      <w:proofErr w:type="spellStart"/>
      <w:r w:rsidRPr="00113B65">
        <w:t>Bohne</w:t>
      </w:r>
      <w:proofErr w:type="spellEnd"/>
      <w:r w:rsidRPr="00113B65">
        <w:t xml:space="preserve"> </w:t>
      </w:r>
      <w:proofErr w:type="spellStart"/>
      <w:r w:rsidRPr="00113B65">
        <w:t>sind</w:t>
      </w:r>
      <w:proofErr w:type="spellEnd"/>
      <w:r w:rsidRPr="00113B65">
        <w:t xml:space="preserve"> </w:t>
      </w:r>
      <w:proofErr w:type="spellStart"/>
      <w:r w:rsidR="00BF23CA">
        <w:t>inzwischen</w:t>
      </w:r>
      <w:proofErr w:type="spellEnd"/>
      <w:r w:rsidR="00BF23CA">
        <w:t xml:space="preserve"> </w:t>
      </w:r>
      <w:proofErr w:type="spellStart"/>
      <w:r w:rsidRPr="00113B65">
        <w:t>gefunden</w:t>
      </w:r>
      <w:proofErr w:type="spellEnd"/>
      <w:r w:rsidRPr="00113B65">
        <w:t xml:space="preserve">. </w:t>
      </w:r>
      <w:proofErr w:type="spellStart"/>
      <w:r w:rsidRPr="00113B65">
        <w:t>Sie</w:t>
      </w:r>
      <w:proofErr w:type="spellEnd"/>
      <w:r w:rsidRPr="00113B65">
        <w:t xml:space="preserve"> </w:t>
      </w:r>
      <w:proofErr w:type="spellStart"/>
      <w:r w:rsidRPr="00113B65">
        <w:t>zeigen</w:t>
      </w:r>
      <w:proofErr w:type="spellEnd"/>
      <w:r w:rsidRPr="00113B65">
        <w:t xml:space="preserve">, </w:t>
      </w:r>
      <w:proofErr w:type="spellStart"/>
      <w:r w:rsidRPr="00113B65">
        <w:t>wie</w:t>
      </w:r>
      <w:proofErr w:type="spellEnd"/>
      <w:r w:rsidRPr="00113B65">
        <w:t xml:space="preserve"> </w:t>
      </w:r>
      <w:proofErr w:type="spellStart"/>
      <w:r w:rsidRPr="00113B65">
        <w:t>Anbau</w:t>
      </w:r>
      <w:proofErr w:type="spellEnd"/>
      <w:r w:rsidRPr="00113B65">
        <w:t xml:space="preserve"> </w:t>
      </w:r>
      <w:proofErr w:type="spellStart"/>
      <w:r w:rsidRPr="00113B65">
        <w:t>und</w:t>
      </w:r>
      <w:proofErr w:type="spellEnd"/>
      <w:r w:rsidRPr="00113B65">
        <w:t xml:space="preserve"> </w:t>
      </w:r>
      <w:proofErr w:type="spellStart"/>
      <w:r w:rsidRPr="00113B65">
        <w:t>Wertschöpfung</w:t>
      </w:r>
      <w:proofErr w:type="spellEnd"/>
      <w:r w:rsidRPr="00113B65">
        <w:t xml:space="preserve"> </w:t>
      </w:r>
      <w:proofErr w:type="spellStart"/>
      <w:r w:rsidRPr="00113B65">
        <w:t>dieser</w:t>
      </w:r>
      <w:proofErr w:type="spellEnd"/>
      <w:r w:rsidRPr="00113B65">
        <w:t xml:space="preserve"> </w:t>
      </w:r>
      <w:proofErr w:type="spellStart"/>
      <w:r w:rsidRPr="00113B65">
        <w:t>Leguminosen</w:t>
      </w:r>
      <w:proofErr w:type="spellEnd"/>
      <w:r w:rsidRPr="00113B65">
        <w:t xml:space="preserve"> </w:t>
      </w:r>
      <w:proofErr w:type="spellStart"/>
      <w:r w:rsidRPr="00113B65">
        <w:t>gelingen</w:t>
      </w:r>
      <w:proofErr w:type="spellEnd"/>
      <w:r w:rsidRPr="00113B65">
        <w:t>.</w:t>
      </w:r>
    </w:p>
    <w:p w:rsidR="000173E4" w:rsidRPr="000173E4" w:rsidRDefault="00614DA0" w:rsidP="000173E4">
      <w:pPr>
        <w:pStyle w:val="demonetfliesstext"/>
        <w:jc w:val="both"/>
      </w:pPr>
      <w:r>
        <w:t>„</w:t>
      </w:r>
      <w:r w:rsidR="00016A62" w:rsidRPr="00016A62">
        <w:t>Das Ziel des modellhaften Demonstrationsnetzwerks Erbse / Bohne ist es, Anbau und Verarbeitung dieser beider Kulturen in Deutschland zu unterstützen sowie Nachfrage und Angebot zusammenzubringen</w:t>
      </w:r>
      <w:r>
        <w:t>“, erklä</w:t>
      </w:r>
      <w:r w:rsidR="00A6549E">
        <w:t>rt Projektkoordinator</w:t>
      </w:r>
      <w:r>
        <w:t xml:space="preserve"> Ulrich Quendt vom </w:t>
      </w:r>
      <w:r>
        <w:rPr>
          <w:rFonts w:cs="Arial"/>
          <w:szCs w:val="24"/>
        </w:rPr>
        <w:t>Landesbetrieb</w:t>
      </w:r>
      <w:r w:rsidRPr="00016A62">
        <w:rPr>
          <w:rFonts w:cs="Arial"/>
          <w:szCs w:val="24"/>
        </w:rPr>
        <w:t xml:space="preserve"> Landwirtschaft Hessen</w:t>
      </w:r>
      <w:r w:rsidR="00016A62" w:rsidRPr="00016A62">
        <w:t>. Dafür sind nun deutschlandweit landwirtschaftliche und verarbeitende Demonstrationsbetriebe aktiv</w:t>
      </w:r>
      <w:r w:rsidR="00DE1981">
        <w:t>. Es handelt sich zu circa</w:t>
      </w:r>
      <w:r w:rsidR="00A1795A">
        <w:t xml:space="preserve"> 60 Prozent um konventionelle und zu 40 Prozent um Biobetriebe. </w:t>
      </w:r>
      <w:r w:rsidR="00016A62" w:rsidRPr="00016A62">
        <w:t xml:space="preserve">Sie zeigen innovative und praktische Ansätze im Anbau und in der Verwertung von Erbsen und Bohnen. Dazu veranstalten sie </w:t>
      </w:r>
      <w:proofErr w:type="spellStart"/>
      <w:r w:rsidR="00016A62" w:rsidRPr="00016A62">
        <w:t>Feldtage</w:t>
      </w:r>
      <w:proofErr w:type="spellEnd"/>
      <w:r w:rsidR="00016A62" w:rsidRPr="00016A62">
        <w:t xml:space="preserve"> und </w:t>
      </w:r>
      <w:r w:rsidR="00EE0FFE">
        <w:t xml:space="preserve">Betriebsbesichtigungen </w:t>
      </w:r>
      <w:r w:rsidR="00016A62" w:rsidRPr="00016A62">
        <w:t xml:space="preserve">und sind Ansprechpartner </w:t>
      </w:r>
      <w:r w:rsidR="00BF23CA">
        <w:t>sowie</w:t>
      </w:r>
      <w:r w:rsidR="00016A62" w:rsidRPr="00016A62">
        <w:t xml:space="preserve"> Vernetzungspunkt</w:t>
      </w:r>
      <w:r w:rsidR="00BF23CA">
        <w:t>e</w:t>
      </w:r>
      <w:r w:rsidR="00016A62" w:rsidRPr="00016A62">
        <w:t xml:space="preserve"> für Berufskollegen. Außerdem </w:t>
      </w:r>
      <w:r w:rsidR="00A6549E">
        <w:t>finden</w:t>
      </w:r>
      <w:r w:rsidR="00A6549E" w:rsidRPr="00016A62">
        <w:t xml:space="preserve"> </w:t>
      </w:r>
      <w:r w:rsidR="00016A62" w:rsidRPr="00016A62">
        <w:t xml:space="preserve">auf den Demonstrationsbetrieben </w:t>
      </w:r>
      <w:r w:rsidR="00A6549E">
        <w:t>Anbauversuche statt</w:t>
      </w:r>
      <w:r w:rsidR="00016A62" w:rsidRPr="00016A62">
        <w:t xml:space="preserve">, aus denen Hinweise zur </w:t>
      </w:r>
      <w:r w:rsidR="00770547">
        <w:t>O</w:t>
      </w:r>
      <w:r w:rsidR="00770547" w:rsidRPr="00016A62">
        <w:t xml:space="preserve">ptimierung </w:t>
      </w:r>
      <w:r w:rsidR="00770547">
        <w:t xml:space="preserve">von Anbau, </w:t>
      </w:r>
      <w:r w:rsidR="00016A62" w:rsidRPr="00016A62">
        <w:t xml:space="preserve">Aufbereitung </w:t>
      </w:r>
      <w:r w:rsidR="00770547">
        <w:t>und</w:t>
      </w:r>
      <w:r w:rsidR="00770547" w:rsidRPr="00016A62">
        <w:t xml:space="preserve"> </w:t>
      </w:r>
      <w:r w:rsidR="00016A62" w:rsidRPr="00016A62">
        <w:t>Nutzung abgeleitet werden.</w:t>
      </w:r>
      <w:r w:rsidR="000173E4">
        <w:t xml:space="preserve"> </w:t>
      </w:r>
      <w:r w:rsidR="00016A62" w:rsidRPr="00016A62">
        <w:t>Aktuelle Informationen zum Netzwerk, zu den Demobetrieben und den dort stattfindenden Feldtagen</w:t>
      </w:r>
      <w:r w:rsidR="00EE0FFE">
        <w:t xml:space="preserve"> und Betriebsbesichtigungen</w:t>
      </w:r>
      <w:r w:rsidR="00016A62" w:rsidRPr="00016A62">
        <w:t xml:space="preserve"> sowie zu Erbsen und Bohnen gibt es bald auf der Webseite </w:t>
      </w:r>
      <w:r w:rsidR="004C230C">
        <w:fldChar w:fldCharType="begin"/>
      </w:r>
      <w:r w:rsidR="004C230C">
        <w:instrText xml:space="preserve"> HYPERLINK "http://www.demoneterbo.agrarpraxisforschung.de" </w:instrText>
      </w:r>
      <w:r w:rsidR="004C230C">
        <w:fldChar w:fldCharType="separate"/>
      </w:r>
      <w:r w:rsidR="00016A62" w:rsidRPr="00950BE5">
        <w:rPr>
          <w:rStyle w:val="Hyperlink"/>
        </w:rPr>
        <w:t>www.demoneterbo.agrarpraxisforschung.de</w:t>
      </w:r>
      <w:r w:rsidR="004C230C">
        <w:rPr>
          <w:rStyle w:val="Hyperlink"/>
        </w:rPr>
        <w:fldChar w:fldCharType="end"/>
      </w:r>
      <w:r w:rsidR="00BF23CA">
        <w:rPr>
          <w:rStyle w:val="Hyperlink"/>
        </w:rPr>
        <w:t>.</w:t>
      </w:r>
      <w:bookmarkStart w:id="0" w:name="_GoBack"/>
      <w:bookmarkEnd w:id="0"/>
    </w:p>
    <w:p w:rsidR="007A1899" w:rsidRPr="003F7812" w:rsidRDefault="00016A62" w:rsidP="00016A62">
      <w:pPr>
        <w:pStyle w:val="demonetzwischenberschrift"/>
      </w:pPr>
      <w:r>
        <w:t>Hintergrund</w:t>
      </w:r>
    </w:p>
    <w:p w:rsidR="00844C90" w:rsidRDefault="00016A62" w:rsidP="006925D9">
      <w:pPr>
        <w:jc w:val="both"/>
        <w:rPr>
          <w:rFonts w:cs="Arial"/>
          <w:sz w:val="24"/>
          <w:szCs w:val="24"/>
        </w:rPr>
      </w:pPr>
      <w:r w:rsidRPr="00016A62">
        <w:rPr>
          <w:rFonts w:cs="Arial"/>
          <w:sz w:val="24"/>
          <w:szCs w:val="24"/>
        </w:rPr>
        <w:t xml:space="preserve">Ob als hofeigenes Futtermittel oder als Marktfrucht: Erbsen und Bohnen sind wichtige Bausteine für eine nachhaltige, eiweißhaltige und regionale Nutztierfütterung. Auch für die menschliche Ernährung werden die heimischen Hülsenfrüchte wiederentdeckt. </w:t>
      </w:r>
      <w:r>
        <w:rPr>
          <w:rFonts w:cs="Arial"/>
          <w:sz w:val="24"/>
          <w:szCs w:val="24"/>
        </w:rPr>
        <w:t>2015 verdoppelte sich d</w:t>
      </w:r>
      <w:r w:rsidRPr="00016A62">
        <w:rPr>
          <w:rFonts w:cs="Arial"/>
          <w:sz w:val="24"/>
          <w:szCs w:val="24"/>
        </w:rPr>
        <w:t xml:space="preserve">er Anbau von Erbsen und Ackerbohnen gegenüber dem Vorjahr. Viele Betriebe bauen zum ersten Mal oder nach langer Zeit wieder die beiden Körnerleguminosen an. Dabei sind häufig noch viele Fragen offen, beispielsweise zur hofeigenen Verwertung </w:t>
      </w:r>
      <w:r>
        <w:rPr>
          <w:rFonts w:cs="Arial"/>
          <w:sz w:val="24"/>
          <w:szCs w:val="24"/>
        </w:rPr>
        <w:t>der Kulturen</w:t>
      </w:r>
      <w:r w:rsidRPr="00016A62">
        <w:rPr>
          <w:rFonts w:cs="Arial"/>
          <w:sz w:val="24"/>
          <w:szCs w:val="24"/>
        </w:rPr>
        <w:t xml:space="preserve">. Um Antworten und Konzepte für diese Fragen zu liefern, hat das „Modellhafte Demonstrationsnetzwerk zur Ausweitung und Verbesserung des Anbaus und der Verwertung von Leguminosen mit Schwerpunkt Erbsen und Bohnen in Deutschland“, kurz </w:t>
      </w:r>
      <w:proofErr w:type="spellStart"/>
      <w:r w:rsidRPr="00016A62">
        <w:rPr>
          <w:rFonts w:cs="Arial"/>
          <w:sz w:val="24"/>
          <w:szCs w:val="24"/>
        </w:rPr>
        <w:t>DemoNetErBo</w:t>
      </w:r>
      <w:proofErr w:type="spellEnd"/>
      <w:r w:rsidRPr="00016A62">
        <w:rPr>
          <w:rFonts w:cs="Arial"/>
          <w:sz w:val="24"/>
          <w:szCs w:val="24"/>
        </w:rPr>
        <w:t xml:space="preserve">, Anfang 2016 </w:t>
      </w:r>
      <w:r w:rsidR="00F43DE5">
        <w:rPr>
          <w:rFonts w:cs="Arial"/>
          <w:sz w:val="24"/>
          <w:szCs w:val="24"/>
        </w:rPr>
        <w:t>seine</w:t>
      </w:r>
      <w:r w:rsidRPr="00016A62">
        <w:rPr>
          <w:rFonts w:cs="Arial"/>
          <w:sz w:val="24"/>
          <w:szCs w:val="24"/>
        </w:rPr>
        <w:t xml:space="preserve"> Arbeit aufgenommen. Unter der Leitung des Landesbetriebs Landwirtschaft Hessen (LLH) sind Partner aus neun weiteren Bundesländern sowie bundesweit agierende Partner </w:t>
      </w:r>
      <w:r w:rsidR="00F43DE5" w:rsidRPr="00016A62">
        <w:rPr>
          <w:rFonts w:cs="Arial"/>
          <w:sz w:val="24"/>
          <w:szCs w:val="24"/>
        </w:rPr>
        <w:t xml:space="preserve">am Netzwerk </w:t>
      </w:r>
      <w:r w:rsidRPr="00016A62">
        <w:rPr>
          <w:rFonts w:cs="Arial"/>
          <w:sz w:val="24"/>
          <w:szCs w:val="24"/>
        </w:rPr>
        <w:t xml:space="preserve">beteiligt.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97888" w:rsidTr="00683B65">
        <w:tc>
          <w:tcPr>
            <w:tcW w:w="4868" w:type="dxa"/>
          </w:tcPr>
          <w:p w:rsidR="00F97888" w:rsidRDefault="00CB3D07" w:rsidP="00CB3D07">
            <w:pPr>
              <w:pStyle w:val="demonetzwischenberschrift"/>
              <w:rPr>
                <w:sz w:val="24"/>
                <w:szCs w:val="24"/>
              </w:rPr>
            </w:pPr>
            <w:r w:rsidRPr="00D270AD">
              <w:t>Ko</w:t>
            </w:r>
            <w:r w:rsidR="00AE539E">
              <w:t>ntakt</w:t>
            </w:r>
            <w:r>
              <w:t xml:space="preserve"> </w:t>
            </w:r>
            <w:r w:rsidR="00F97888">
              <w:t>Presse</w:t>
            </w:r>
          </w:p>
        </w:tc>
        <w:tc>
          <w:tcPr>
            <w:tcW w:w="4868" w:type="dxa"/>
          </w:tcPr>
          <w:p w:rsidR="00F97888" w:rsidRDefault="003C3660" w:rsidP="00F97888">
            <w:pPr>
              <w:pStyle w:val="demonetzwischenberschrift"/>
            </w:pPr>
            <w:r>
              <w:t>Kontakt Projektk</w:t>
            </w:r>
            <w:r w:rsidR="00F97888">
              <w:t>oordination</w:t>
            </w:r>
          </w:p>
        </w:tc>
      </w:tr>
      <w:tr w:rsidR="00F97888" w:rsidTr="00AE539E">
        <w:trPr>
          <w:trHeight w:val="80"/>
        </w:trPr>
        <w:tc>
          <w:tcPr>
            <w:tcW w:w="4868" w:type="dxa"/>
          </w:tcPr>
          <w:p w:rsidR="00F97888" w:rsidRPr="00F97888" w:rsidRDefault="00F97888" w:rsidP="001A7C64">
            <w:pPr>
              <w:rPr>
                <w:sz w:val="24"/>
              </w:rPr>
            </w:pPr>
            <w:r>
              <w:rPr>
                <w:sz w:val="24"/>
              </w:rPr>
              <w:t>Hella Hansen</w:t>
            </w:r>
            <w:r>
              <w:rPr>
                <w:sz w:val="24"/>
              </w:rPr>
              <w:br/>
              <w:t xml:space="preserve">Forschungsinstitut für biologischen Landbau </w:t>
            </w:r>
            <w:r>
              <w:rPr>
                <w:sz w:val="24"/>
              </w:rPr>
              <w:br/>
              <w:t>Kasseler Str</w:t>
            </w:r>
            <w:r w:rsidR="001A7C64">
              <w:rPr>
                <w:sz w:val="24"/>
              </w:rPr>
              <w:t>aße</w:t>
            </w:r>
            <w:r>
              <w:rPr>
                <w:sz w:val="24"/>
              </w:rPr>
              <w:t xml:space="preserve"> 1a</w:t>
            </w:r>
            <w:r>
              <w:rPr>
                <w:sz w:val="24"/>
              </w:rPr>
              <w:br/>
              <w:t>60486 Frankfurt</w:t>
            </w:r>
            <w:r>
              <w:rPr>
                <w:sz w:val="24"/>
              </w:rPr>
              <w:br/>
              <w:t>Tel.: 069 7137699-45</w:t>
            </w:r>
            <w:r>
              <w:rPr>
                <w:sz w:val="24"/>
              </w:rPr>
              <w:br/>
              <w:t>E-Mail: hella.hansen@fibl.org</w:t>
            </w:r>
          </w:p>
        </w:tc>
        <w:tc>
          <w:tcPr>
            <w:tcW w:w="4868" w:type="dxa"/>
          </w:tcPr>
          <w:p w:rsidR="00F97888" w:rsidRDefault="00F97888" w:rsidP="00F43DE5">
            <w:pPr>
              <w:pStyle w:val="demonetfliesstext"/>
            </w:pPr>
            <w:r>
              <w:t>Ulrich Quendt</w:t>
            </w:r>
            <w:r>
              <w:br/>
              <w:t>Landesbetrieb Landwirtschaft Hessen</w:t>
            </w:r>
            <w:r>
              <w:br/>
              <w:t>Kölnische Straße 48-50</w:t>
            </w:r>
            <w:r>
              <w:br/>
              <w:t>34117 Kassel</w:t>
            </w:r>
            <w:r w:rsidR="00F43DE5">
              <w:br/>
            </w:r>
            <w:r>
              <w:t>Tel.: 0561 7299-307</w:t>
            </w:r>
            <w:r>
              <w:br/>
              <w:t>E-Mail: ulrich.quendt@llh.hessen.de</w:t>
            </w:r>
          </w:p>
        </w:tc>
      </w:tr>
    </w:tbl>
    <w:p w:rsidR="00F97888" w:rsidRPr="00F97888" w:rsidRDefault="00F97888" w:rsidP="000173E4">
      <w:pPr>
        <w:pStyle w:val="demonetfliesstext"/>
      </w:pPr>
    </w:p>
    <w:sectPr w:rsidR="00F97888" w:rsidRPr="00F97888" w:rsidSect="00B607DC">
      <w:headerReference w:type="default" r:id="rId10"/>
      <w:footerReference w:type="default" r:id="rId1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30C" w:rsidRDefault="004C230C" w:rsidP="00A801CE">
      <w:pPr>
        <w:spacing w:after="0" w:line="240" w:lineRule="auto"/>
      </w:pPr>
      <w:r>
        <w:separator/>
      </w:r>
    </w:p>
  </w:endnote>
  <w:endnote w:type="continuationSeparator" w:id="0">
    <w:p w:rsidR="004C230C" w:rsidRDefault="004C230C"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443"/>
      <w:gridCol w:w="1962"/>
    </w:tblGrid>
    <w:tr w:rsidR="00B101C8" w:rsidTr="00B101C8">
      <w:trPr>
        <w:trHeight w:val="1550"/>
      </w:trPr>
      <w:tc>
        <w:tcPr>
          <w:tcW w:w="2376" w:type="dxa"/>
          <w:vAlign w:val="center"/>
          <w:hideMark/>
        </w:tcPr>
        <w:p w:rsidR="00B101C8" w:rsidRDefault="00B101C8" w:rsidP="00B101C8">
          <w:pPr>
            <w:pStyle w:val="Fuzeile"/>
          </w:pPr>
          <w:r>
            <w:rPr>
              <w:noProof/>
              <w:lang w:eastAsia="de-DE"/>
            </w:rPr>
            <w:drawing>
              <wp:inline distT="0" distB="0" distL="0" distR="0">
                <wp:extent cx="1571625" cy="1152525"/>
                <wp:effectExtent l="0" t="0" r="0" b="0"/>
                <wp:docPr id="4" name="Grafik 4" descr="BMEL_DTP_CMYK_de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MEL_DTP_CMYK_de [Konvert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a:ln>
                          <a:noFill/>
                        </a:ln>
                      </pic:spPr>
                    </pic:pic>
                  </a:graphicData>
                </a:graphic>
              </wp:inline>
            </w:drawing>
          </w:r>
        </w:p>
      </w:tc>
      <w:tc>
        <w:tcPr>
          <w:tcW w:w="5443" w:type="dxa"/>
          <w:vAlign w:val="center"/>
          <w:hideMark/>
        </w:tcPr>
        <w:p w:rsidR="00B101C8" w:rsidRPr="00B101C8" w:rsidRDefault="00B101C8" w:rsidP="00B101C8">
          <w:pPr>
            <w:pStyle w:val="Fuzeile"/>
            <w:jc w:val="center"/>
            <w:rPr>
              <w:sz w:val="16"/>
              <w:szCs w:val="16"/>
            </w:rPr>
          </w:pPr>
          <w:r w:rsidRPr="00B101C8">
            <w:rPr>
              <w:sz w:val="16"/>
              <w:szCs w:val="16"/>
            </w:rPr>
            <w:t>Das Demonetzwerk Erbse / Bohne wird gefördert durch das Bundesministerium für Ernährung und Landwirtschaft aufgrund eines Beschlusses des Deutschen Bundestages im Rahmen der BMEL Eiweißpflanzenstrategie</w:t>
          </w:r>
        </w:p>
      </w:tc>
      <w:tc>
        <w:tcPr>
          <w:tcW w:w="1962" w:type="dxa"/>
          <w:vAlign w:val="center"/>
          <w:hideMark/>
        </w:tcPr>
        <w:p w:rsidR="00B101C8" w:rsidRDefault="00B101C8" w:rsidP="00B101C8">
          <w:pPr>
            <w:pStyle w:val="Fuzeile"/>
            <w:jc w:val="right"/>
          </w:pPr>
          <w:r>
            <w:rPr>
              <w:noProof/>
              <w:lang w:eastAsia="de-DE"/>
            </w:rPr>
            <w:drawing>
              <wp:inline distT="0" distB="0" distL="0" distR="0">
                <wp:extent cx="962025" cy="628650"/>
                <wp:effectExtent l="0" t="0" r="0" b="0"/>
                <wp:docPr id="2" name="Grafik 2"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r>
  </w:tbl>
  <w:p w:rsidR="00844C90" w:rsidRDefault="00844C90">
    <w:pPr>
      <w:pStyle w:val="Fuzeile"/>
    </w:pPr>
    <w:r>
      <w:rPr>
        <w:noProof/>
        <w:lang w:eastAsia="de-DE"/>
      </w:rPr>
      <w:drawing>
        <wp:anchor distT="0" distB="0" distL="114300" distR="114300" simplePos="0" relativeHeight="251662336" behindDoc="0" locked="0" layoutInCell="1" allowOverlap="1">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7" w:rsidRDefault="00364FD7">
    <w:pPr>
      <w:pStyle w:val="Fuzeile"/>
    </w:pPr>
    <w:r>
      <w:rPr>
        <w:noProof/>
        <w:lang w:eastAsia="de-DE"/>
      </w:rPr>
      <w:drawing>
        <wp:anchor distT="0" distB="0" distL="114300" distR="114300" simplePos="0" relativeHeight="251664384" behindDoc="0" locked="0" layoutInCell="1" allowOverlap="1">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30C" w:rsidRDefault="004C230C" w:rsidP="00A801CE">
      <w:pPr>
        <w:spacing w:after="0" w:line="240" w:lineRule="auto"/>
      </w:pPr>
      <w:r>
        <w:separator/>
      </w:r>
    </w:p>
  </w:footnote>
  <w:footnote w:type="continuationSeparator" w:id="0">
    <w:p w:rsidR="004C230C" w:rsidRDefault="004C230C"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D7" w:rsidRPr="00364FD7" w:rsidRDefault="00364FD7" w:rsidP="00364F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0500"/>
    <w:rsid w:val="00016A62"/>
    <w:rsid w:val="000173E4"/>
    <w:rsid w:val="00032D78"/>
    <w:rsid w:val="0012423E"/>
    <w:rsid w:val="001A7C64"/>
    <w:rsid w:val="00241A33"/>
    <w:rsid w:val="00271F99"/>
    <w:rsid w:val="00282A77"/>
    <w:rsid w:val="00345602"/>
    <w:rsid w:val="00364FD7"/>
    <w:rsid w:val="003C3660"/>
    <w:rsid w:val="003D2593"/>
    <w:rsid w:val="003F7812"/>
    <w:rsid w:val="003F7FED"/>
    <w:rsid w:val="004C230C"/>
    <w:rsid w:val="00506C2C"/>
    <w:rsid w:val="0053173F"/>
    <w:rsid w:val="00614DA0"/>
    <w:rsid w:val="00683B65"/>
    <w:rsid w:val="006925D9"/>
    <w:rsid w:val="00770547"/>
    <w:rsid w:val="007A0500"/>
    <w:rsid w:val="007A1899"/>
    <w:rsid w:val="00844215"/>
    <w:rsid w:val="00844C90"/>
    <w:rsid w:val="00861301"/>
    <w:rsid w:val="008749D4"/>
    <w:rsid w:val="00A1795A"/>
    <w:rsid w:val="00A6549E"/>
    <w:rsid w:val="00A75D61"/>
    <w:rsid w:val="00A801CE"/>
    <w:rsid w:val="00AE539E"/>
    <w:rsid w:val="00B101C8"/>
    <w:rsid w:val="00B607DC"/>
    <w:rsid w:val="00BC1151"/>
    <w:rsid w:val="00BF0E67"/>
    <w:rsid w:val="00BF23CA"/>
    <w:rsid w:val="00CB3D07"/>
    <w:rsid w:val="00D270AD"/>
    <w:rsid w:val="00DE1981"/>
    <w:rsid w:val="00DF7DAA"/>
    <w:rsid w:val="00EE0FFE"/>
    <w:rsid w:val="00F43DE5"/>
    <w:rsid w:val="00F97888"/>
    <w:rsid w:val="00FE7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345602"/>
    <w:rPr>
      <w:b/>
      <w:lang w:val="fr-FR"/>
    </w:rPr>
  </w:style>
  <w:style w:type="paragraph" w:customStyle="1" w:styleId="demonetfliesstext">
    <w:name w:val="demonet_fliesstext"/>
    <w:basedOn w:val="Standard"/>
    <w:autoRedefine/>
    <w:qFormat/>
    <w:rsid w:val="00B101C8"/>
    <w:pPr>
      <w:spacing w:after="80" w:line="240" w:lineRule="auto"/>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Erbsen und Bohnen anbauen und verwerten - Pressemitteilung</dc:title>
  <dc:subject>Leguminosenanbau</dc:subject>
  <dc:creator>FiBL</dc:creator>
  <cp:keywords/>
  <dc:description/>
  <cp:lastModifiedBy>Jasmin Snigula</cp:lastModifiedBy>
  <cp:revision>23</cp:revision>
  <cp:lastPrinted>2016-05-27T12:58:00Z</cp:lastPrinted>
  <dcterms:created xsi:type="dcterms:W3CDTF">2016-05-25T09:29:00Z</dcterms:created>
  <dcterms:modified xsi:type="dcterms:W3CDTF">2016-05-31T07:12:00Z</dcterms:modified>
</cp:coreProperties>
</file>