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431B" w14:textId="77777777" w:rsidR="00A81D3E" w:rsidRPr="00110F00" w:rsidRDefault="00A81D3E" w:rsidP="007F2F2A">
      <w:pPr>
        <w:pStyle w:val="FiBLstandard"/>
        <w:rPr>
          <w:rFonts w:ascii="Gill Sans MT" w:hAnsi="Gill Sans MT"/>
          <w:lang w:val="en-GB"/>
        </w:rPr>
        <w:sectPr w:rsidR="00A81D3E" w:rsidRPr="00110F00" w:rsidSect="005A4956">
          <w:headerReference w:type="default" r:id="rId11"/>
          <w:footerReference w:type="default" r:id="rId12"/>
          <w:type w:val="continuous"/>
          <w:pgSz w:w="11906" w:h="16838"/>
          <w:pgMar w:top="1701" w:right="1701" w:bottom="2075" w:left="1701" w:header="1134" w:footer="1134" w:gutter="0"/>
          <w:cols w:space="708"/>
          <w:docGrid w:linePitch="360"/>
        </w:sectPr>
      </w:pPr>
    </w:p>
    <w:p w14:paraId="57ED69C2" w14:textId="0056E31E" w:rsidR="008661D6" w:rsidRPr="00110F00" w:rsidRDefault="008661D6" w:rsidP="008661D6">
      <w:pPr>
        <w:pStyle w:val="FiBLtitel11"/>
        <w:spacing w:after="120" w:line="240" w:lineRule="auto"/>
        <w:rPr>
          <w:b/>
          <w:sz w:val="40"/>
          <w:szCs w:val="50"/>
          <w:lang w:val="en-GB"/>
        </w:rPr>
      </w:pPr>
      <w:r w:rsidRPr="00110F00">
        <w:rPr>
          <w:b/>
          <w:sz w:val="40"/>
          <w:szCs w:val="50"/>
          <w:lang w:val="en-GB"/>
        </w:rPr>
        <w:t xml:space="preserve">Pathways to carbon-neutral </w:t>
      </w:r>
    </w:p>
    <w:p w14:paraId="7FE70D2E" w14:textId="425D03F0" w:rsidR="008661D6" w:rsidRPr="00110F00" w:rsidRDefault="008661D6" w:rsidP="008661D6">
      <w:pPr>
        <w:pStyle w:val="FiBLtitel11"/>
        <w:spacing w:after="120" w:line="240" w:lineRule="auto"/>
        <w:rPr>
          <w:b/>
          <w:sz w:val="40"/>
          <w:szCs w:val="50"/>
          <w:lang w:val="en-GB"/>
        </w:rPr>
      </w:pPr>
      <w:r w:rsidRPr="00110F00">
        <w:rPr>
          <w:b/>
          <w:sz w:val="40"/>
          <w:szCs w:val="50"/>
          <w:lang w:val="en-GB"/>
        </w:rPr>
        <w:t xml:space="preserve">organic farming in Switzerland </w:t>
      </w:r>
    </w:p>
    <w:p w14:paraId="60D8E640" w14:textId="6420BA39" w:rsidR="0048723F" w:rsidRPr="00110F00" w:rsidRDefault="008661D6" w:rsidP="008661D6">
      <w:pPr>
        <w:pStyle w:val="FiBLtitel11"/>
        <w:spacing w:after="120" w:line="240" w:lineRule="auto"/>
        <w:rPr>
          <w:lang w:val="en-GB"/>
        </w:rPr>
      </w:pPr>
      <w:r w:rsidRPr="00110F00">
        <w:rPr>
          <w:lang w:val="en-GB"/>
        </w:rPr>
        <w:t>A study by FiBL in coordination with Bio Suisse</w:t>
      </w:r>
    </w:p>
    <w:p w14:paraId="01E92748" w14:textId="77777777" w:rsidR="008661D6" w:rsidRPr="00110F00" w:rsidRDefault="008661D6" w:rsidP="00AB7DD2">
      <w:pPr>
        <w:pStyle w:val="FiBLtitel11"/>
        <w:spacing w:after="120" w:line="240" w:lineRule="auto"/>
        <w:rPr>
          <w:b/>
          <w:sz w:val="40"/>
          <w:szCs w:val="50"/>
          <w:lang w:val="en-GB"/>
        </w:rPr>
      </w:pPr>
      <w:r w:rsidRPr="00110F00">
        <w:rPr>
          <w:b/>
          <w:sz w:val="40"/>
          <w:szCs w:val="50"/>
          <w:lang w:val="en-GB"/>
        </w:rPr>
        <w:t>Summary</w:t>
      </w:r>
    </w:p>
    <w:p w14:paraId="20CEE14A" w14:textId="6894B2AC" w:rsidR="00AB7DD2" w:rsidRPr="00110F00" w:rsidRDefault="00AB7DD2" w:rsidP="00AB7DD2">
      <w:pPr>
        <w:pStyle w:val="FiBLtitel11"/>
        <w:spacing w:after="120" w:line="240" w:lineRule="auto"/>
        <w:rPr>
          <w:lang w:val="en-GB"/>
        </w:rPr>
      </w:pPr>
      <w:r w:rsidRPr="00110F00">
        <w:rPr>
          <w:lang w:val="en-GB"/>
        </w:rPr>
        <w:t xml:space="preserve">Markus Steffens, Marie </w:t>
      </w:r>
      <w:proofErr w:type="spellStart"/>
      <w:r w:rsidRPr="00110F00">
        <w:rPr>
          <w:lang w:val="en-GB"/>
        </w:rPr>
        <w:t>Dittmann</w:t>
      </w:r>
      <w:proofErr w:type="spellEnd"/>
      <w:r w:rsidRPr="00110F00">
        <w:rPr>
          <w:lang w:val="en-GB"/>
        </w:rPr>
        <w:t xml:space="preserve">, Maike Krauss, Stefan Baumann, Alice Dind, Andreas </w:t>
      </w:r>
      <w:proofErr w:type="spellStart"/>
      <w:r w:rsidRPr="00110F00">
        <w:rPr>
          <w:lang w:val="en-GB"/>
        </w:rPr>
        <w:t>Fliessbach</w:t>
      </w:r>
      <w:proofErr w:type="spellEnd"/>
      <w:r w:rsidRPr="00110F00">
        <w:rPr>
          <w:lang w:val="en-GB"/>
        </w:rPr>
        <w:t xml:space="preserve">, Mirjam Holinger, Hans-Martin Krause, Florian Leiber, Adrian Müller, Johanna </w:t>
      </w:r>
      <w:proofErr w:type="spellStart"/>
      <w:r w:rsidRPr="00110F00">
        <w:rPr>
          <w:lang w:val="en-GB"/>
        </w:rPr>
        <w:t>Rüegg</w:t>
      </w:r>
      <w:proofErr w:type="spellEnd"/>
      <w:r w:rsidRPr="00110F00">
        <w:rPr>
          <w:lang w:val="en-GB"/>
        </w:rPr>
        <w:t xml:space="preserve">, </w:t>
      </w:r>
      <w:proofErr w:type="spellStart"/>
      <w:r w:rsidRPr="00110F00">
        <w:rPr>
          <w:lang w:val="en-GB"/>
        </w:rPr>
        <w:t>Sibylle</w:t>
      </w:r>
      <w:proofErr w:type="spellEnd"/>
      <w:r w:rsidRPr="00110F00">
        <w:rPr>
          <w:lang w:val="en-GB"/>
        </w:rPr>
        <w:t xml:space="preserve"> </w:t>
      </w:r>
      <w:proofErr w:type="spellStart"/>
      <w:r w:rsidRPr="00110F00">
        <w:rPr>
          <w:lang w:val="en-GB"/>
        </w:rPr>
        <w:t>Stöckli</w:t>
      </w:r>
      <w:proofErr w:type="spellEnd"/>
      <w:r w:rsidRPr="00110F00">
        <w:rPr>
          <w:lang w:val="en-GB"/>
        </w:rPr>
        <w:t>, Knut Schmidtke</w:t>
      </w:r>
    </w:p>
    <w:p w14:paraId="619463EE" w14:textId="2E02C0AB" w:rsidR="00AB7DD2" w:rsidRPr="00110F00" w:rsidRDefault="008661D6" w:rsidP="00AB7DD2">
      <w:pPr>
        <w:pStyle w:val="FiBLtitel11"/>
        <w:rPr>
          <w:lang w:val="en-GB"/>
        </w:rPr>
      </w:pPr>
      <w:r w:rsidRPr="00110F00">
        <w:rPr>
          <w:lang w:val="en-GB"/>
        </w:rPr>
        <w:t xml:space="preserve">14 March </w:t>
      </w:r>
      <w:r w:rsidR="00AB7DD2" w:rsidRPr="00110F00">
        <w:rPr>
          <w:lang w:val="en-GB"/>
        </w:rPr>
        <w:t>2022</w:t>
      </w:r>
    </w:p>
    <w:p w14:paraId="2E01F58E" w14:textId="162442E1" w:rsidR="00AB7DD2" w:rsidRPr="00110F00" w:rsidRDefault="008661D6" w:rsidP="00AB7DD2">
      <w:pPr>
        <w:pStyle w:val="FiBLberschrift1"/>
        <w:rPr>
          <w:lang w:val="en-GB"/>
        </w:rPr>
      </w:pPr>
      <w:r w:rsidRPr="00110F00">
        <w:rPr>
          <w:lang w:val="en-GB"/>
        </w:rPr>
        <w:t>Introduction</w:t>
      </w:r>
    </w:p>
    <w:p w14:paraId="7BA8AA52" w14:textId="5200D112" w:rsidR="008661D6" w:rsidRPr="00110F00" w:rsidRDefault="002E7000" w:rsidP="00AB7DD2">
      <w:pPr>
        <w:pStyle w:val="FiBLstandard"/>
        <w:rPr>
          <w:lang w:val="en-GB"/>
        </w:rPr>
      </w:pPr>
      <w:r w:rsidRPr="00110F00">
        <w:rPr>
          <w:lang w:val="en-GB"/>
        </w:rPr>
        <w:t>In the light of increasingly evident, human-induced climate change, low-carbon production and consumption patterns are essential for society as a whole and must be pursued by all sectors of the economy.</w:t>
      </w:r>
      <w:r w:rsidR="008661D6" w:rsidRPr="00110F00">
        <w:rPr>
          <w:lang w:val="en-GB"/>
        </w:rPr>
        <w:t xml:space="preserve"> The farming sector, and in particular organic farming with its focus on sustainability, must also face up to this necessity. The study on pathways to carbon-neutral organic farming in Switzerland (</w:t>
      </w:r>
      <w:r w:rsidR="000F0F7F" w:rsidRPr="00110F00">
        <w:rPr>
          <w:lang w:val="en-GB"/>
        </w:rPr>
        <w:t>«</w:t>
      </w:r>
      <w:proofErr w:type="spellStart"/>
      <w:r w:rsidR="008661D6" w:rsidRPr="00110F00">
        <w:rPr>
          <w:i/>
          <w:lang w:val="en-GB"/>
        </w:rPr>
        <w:t>Wege</w:t>
      </w:r>
      <w:proofErr w:type="spellEnd"/>
      <w:r w:rsidR="008661D6" w:rsidRPr="00110F00">
        <w:rPr>
          <w:i/>
          <w:lang w:val="en-GB"/>
        </w:rPr>
        <w:t xml:space="preserve"> </w:t>
      </w:r>
      <w:proofErr w:type="spellStart"/>
      <w:r w:rsidR="008661D6" w:rsidRPr="00110F00">
        <w:rPr>
          <w:i/>
          <w:lang w:val="en-GB"/>
        </w:rPr>
        <w:t>zu</w:t>
      </w:r>
      <w:proofErr w:type="spellEnd"/>
      <w:r w:rsidR="008661D6" w:rsidRPr="00110F00">
        <w:rPr>
          <w:i/>
          <w:lang w:val="en-GB"/>
        </w:rPr>
        <w:t xml:space="preserve"> </w:t>
      </w:r>
      <w:proofErr w:type="spellStart"/>
      <w:r w:rsidR="008661D6" w:rsidRPr="00110F00">
        <w:rPr>
          <w:i/>
          <w:lang w:val="en-GB"/>
        </w:rPr>
        <w:t>einer</w:t>
      </w:r>
      <w:proofErr w:type="spellEnd"/>
      <w:r w:rsidR="008661D6" w:rsidRPr="00110F00">
        <w:rPr>
          <w:i/>
          <w:lang w:val="en-GB"/>
        </w:rPr>
        <w:t xml:space="preserve"> </w:t>
      </w:r>
      <w:proofErr w:type="spellStart"/>
      <w:r w:rsidR="008661D6" w:rsidRPr="00110F00">
        <w:rPr>
          <w:i/>
          <w:lang w:val="en-GB"/>
        </w:rPr>
        <w:t>klimaneutralen</w:t>
      </w:r>
      <w:proofErr w:type="spellEnd"/>
      <w:r w:rsidR="008661D6" w:rsidRPr="00110F00">
        <w:rPr>
          <w:i/>
          <w:lang w:val="en-GB"/>
        </w:rPr>
        <w:t xml:space="preserve"> </w:t>
      </w:r>
      <w:proofErr w:type="spellStart"/>
      <w:r w:rsidR="008661D6" w:rsidRPr="00110F00">
        <w:rPr>
          <w:i/>
          <w:lang w:val="en-GB"/>
        </w:rPr>
        <w:t>Biolandwirtschaft</w:t>
      </w:r>
      <w:proofErr w:type="spellEnd"/>
      <w:r w:rsidR="008661D6" w:rsidRPr="00110F00">
        <w:rPr>
          <w:i/>
          <w:lang w:val="en-GB"/>
        </w:rPr>
        <w:t xml:space="preserve"> in der Schweiz</w:t>
      </w:r>
      <w:r w:rsidR="000F0F7F" w:rsidRPr="00110F00">
        <w:rPr>
          <w:lang w:val="en-GB"/>
        </w:rPr>
        <w:t>»</w:t>
      </w:r>
      <w:r w:rsidR="008661D6" w:rsidRPr="00110F00">
        <w:rPr>
          <w:lang w:val="en-GB"/>
        </w:rPr>
        <w:t>) is the first to show for a specific domestic organic farming sector, in this case Switzerland‘s, the measures that would have to be taken in the sector, but also on the part of consumers, in order to achieve carbon neutrality in the sense of net zero greenhouse gas (GHG) emissions (</w:t>
      </w:r>
      <w:r w:rsidR="008661D6" w:rsidRPr="00110F00">
        <w:rPr>
          <w:lang w:val="en-GB"/>
        </w:rPr>
        <w:fldChar w:fldCharType="begin"/>
      </w:r>
      <w:r w:rsidR="008661D6" w:rsidRPr="00110F00">
        <w:rPr>
          <w:lang w:val="en-GB"/>
        </w:rPr>
        <w:instrText xml:space="preserve"> REF _Ref98331004 \h </w:instrText>
      </w:r>
      <w:r w:rsidR="008661D6" w:rsidRPr="00110F00">
        <w:rPr>
          <w:lang w:val="en-GB"/>
        </w:rPr>
      </w:r>
      <w:r w:rsidR="008661D6" w:rsidRPr="00110F00">
        <w:rPr>
          <w:lang w:val="en-GB"/>
        </w:rPr>
        <w:fldChar w:fldCharType="separate"/>
      </w:r>
      <w:r w:rsidR="005C0B8E" w:rsidRPr="00110F00">
        <w:rPr>
          <w:lang w:val="en-GB"/>
        </w:rPr>
        <w:t xml:space="preserve">Figure </w:t>
      </w:r>
      <w:r w:rsidR="005C0B8E">
        <w:rPr>
          <w:noProof/>
          <w:lang w:val="en-GB"/>
        </w:rPr>
        <w:t>1</w:t>
      </w:r>
      <w:r w:rsidR="008661D6" w:rsidRPr="00110F00">
        <w:rPr>
          <w:lang w:val="en-GB"/>
        </w:rPr>
        <w:fldChar w:fldCharType="end"/>
      </w:r>
      <w:r w:rsidR="008661D6" w:rsidRPr="00110F00">
        <w:rPr>
          <w:lang w:val="en-GB"/>
        </w:rPr>
        <w:t>).</w:t>
      </w:r>
    </w:p>
    <w:p w14:paraId="5CC0E2FD" w14:textId="492F125F" w:rsidR="00AB7DD2" w:rsidRPr="00110F00" w:rsidRDefault="001E5B0D" w:rsidP="001E5B0D">
      <w:pPr>
        <w:pStyle w:val="FiBLberschrift1"/>
        <w:rPr>
          <w:lang w:val="en-GB"/>
        </w:rPr>
      </w:pPr>
      <w:r w:rsidRPr="00110F00">
        <w:rPr>
          <w:lang w:val="en-GB"/>
        </w:rPr>
        <w:t>How to achieve net zero GHG emissions</w:t>
      </w:r>
      <w:r w:rsidR="00AB7DD2" w:rsidRPr="00110F00">
        <w:rPr>
          <w:lang w:val="en-GB"/>
        </w:rPr>
        <w:t>?</w:t>
      </w:r>
    </w:p>
    <w:p w14:paraId="423DB121" w14:textId="1CBE267A" w:rsidR="001E5B0D" w:rsidRPr="00110F00" w:rsidRDefault="001E5B0D" w:rsidP="00AB7DD2">
      <w:pPr>
        <w:pStyle w:val="FiBLstandard"/>
        <w:rPr>
          <w:lang w:val="en-GB"/>
        </w:rPr>
      </w:pPr>
      <w:r w:rsidRPr="00110F00">
        <w:rPr>
          <w:lang w:val="en-GB"/>
        </w:rPr>
        <w:t xml:space="preserve">Carbon neutrality in the sense of «net zero» is defined and achieved as follows: For a farm, economic sector, company or individual product, all GHG emissions – </w:t>
      </w:r>
      <w:r w:rsidR="00EA0FD0" w:rsidRPr="00110F00">
        <w:rPr>
          <w:lang w:val="en-GB"/>
        </w:rPr>
        <w:t>general</w:t>
      </w:r>
      <w:r w:rsidRPr="00110F00">
        <w:rPr>
          <w:lang w:val="en-GB"/>
        </w:rPr>
        <w:t>ly methane (CH</w:t>
      </w:r>
      <w:r w:rsidRPr="00110F00">
        <w:rPr>
          <w:vertAlign w:val="subscript"/>
          <w:lang w:val="en-GB"/>
        </w:rPr>
        <w:t>4</w:t>
      </w:r>
      <w:r w:rsidRPr="00110F00">
        <w:rPr>
          <w:lang w:val="en-GB"/>
        </w:rPr>
        <w:t>), nitrous oxide (N</w:t>
      </w:r>
      <w:r w:rsidRPr="00110F00">
        <w:rPr>
          <w:vertAlign w:val="subscript"/>
          <w:lang w:val="en-GB"/>
        </w:rPr>
        <w:t>2</w:t>
      </w:r>
      <w:r w:rsidRPr="00110F00">
        <w:rPr>
          <w:lang w:val="en-GB"/>
        </w:rPr>
        <w:t>O) and carbon dioxide (CO</w:t>
      </w:r>
      <w:r w:rsidRPr="00110F00">
        <w:rPr>
          <w:vertAlign w:val="subscript"/>
          <w:lang w:val="en-GB"/>
        </w:rPr>
        <w:t>2</w:t>
      </w:r>
      <w:r w:rsidRPr="00110F00">
        <w:rPr>
          <w:lang w:val="en-GB"/>
        </w:rPr>
        <w:t xml:space="preserve">) – are first measured or calculated. Assuming that a quarter of all agricultural land in Switzerland is farmed organically in 2040, organic </w:t>
      </w:r>
      <w:r w:rsidR="000F0F7F" w:rsidRPr="00110F00">
        <w:rPr>
          <w:lang w:val="en-GB"/>
        </w:rPr>
        <w:t>farming</w:t>
      </w:r>
      <w:r w:rsidRPr="00110F00">
        <w:rPr>
          <w:lang w:val="en-GB"/>
        </w:rPr>
        <w:t xml:space="preserve"> in Switzerland will be responsible for approximately 1.5 million tonnes of CO</w:t>
      </w:r>
      <w:r w:rsidRPr="00110F00">
        <w:rPr>
          <w:vertAlign w:val="subscript"/>
          <w:lang w:val="en-GB"/>
        </w:rPr>
        <w:t>2</w:t>
      </w:r>
      <w:r w:rsidRPr="00110F00">
        <w:rPr>
          <w:lang w:val="en-GB"/>
        </w:rPr>
        <w:t xml:space="preserve"> equivalents</w:t>
      </w:r>
      <w:r w:rsidRPr="00110F00">
        <w:rPr>
          <w:rStyle w:val="Funotenzeichen"/>
          <w:lang w:val="en-GB"/>
        </w:rPr>
        <w:footnoteReference w:id="2"/>
      </w:r>
      <w:r w:rsidRPr="00110F00">
        <w:rPr>
          <w:lang w:val="en-GB"/>
        </w:rPr>
        <w:t xml:space="preserve"> in </w:t>
      </w:r>
      <w:r w:rsidR="00EA0FD0" w:rsidRPr="00110F00">
        <w:rPr>
          <w:lang w:val="en-GB"/>
        </w:rPr>
        <w:t>that year</w:t>
      </w:r>
      <w:r w:rsidRPr="00110F00">
        <w:rPr>
          <w:lang w:val="en-GB"/>
        </w:rPr>
        <w:t xml:space="preserve"> (</w:t>
      </w:r>
      <w:r w:rsidRPr="00110F00">
        <w:rPr>
          <w:lang w:val="en-GB"/>
        </w:rPr>
        <w:fldChar w:fldCharType="begin"/>
      </w:r>
      <w:r w:rsidRPr="00110F00">
        <w:rPr>
          <w:lang w:val="en-GB"/>
        </w:rPr>
        <w:instrText xml:space="preserve"> REF _Ref98331004 \h </w:instrText>
      </w:r>
      <w:r w:rsidRPr="00110F00">
        <w:rPr>
          <w:lang w:val="en-GB"/>
        </w:rPr>
      </w:r>
      <w:r w:rsidRPr="00110F00">
        <w:rPr>
          <w:lang w:val="en-GB"/>
        </w:rPr>
        <w:fldChar w:fldCharType="separate"/>
      </w:r>
      <w:r w:rsidR="005C0B8E" w:rsidRPr="00110F00">
        <w:rPr>
          <w:lang w:val="en-GB"/>
        </w:rPr>
        <w:t xml:space="preserve">Figure </w:t>
      </w:r>
      <w:r w:rsidR="005C0B8E">
        <w:rPr>
          <w:noProof/>
          <w:lang w:val="en-GB"/>
        </w:rPr>
        <w:t>1</w:t>
      </w:r>
      <w:r w:rsidRPr="00110F00">
        <w:rPr>
          <w:lang w:val="en-GB"/>
        </w:rPr>
        <w:fldChar w:fldCharType="end"/>
      </w:r>
      <w:r w:rsidRPr="00110F00">
        <w:rPr>
          <w:lang w:val="en-GB"/>
        </w:rPr>
        <w:t xml:space="preserve">). This calculation </w:t>
      </w:r>
      <w:proofErr w:type="gramStart"/>
      <w:r w:rsidRPr="00110F00">
        <w:rPr>
          <w:lang w:val="en-GB"/>
        </w:rPr>
        <w:t>takes into account</w:t>
      </w:r>
      <w:proofErr w:type="gramEnd"/>
      <w:r w:rsidRPr="00110F00">
        <w:rPr>
          <w:lang w:val="en-GB"/>
        </w:rPr>
        <w:t xml:space="preserve"> the GHG emissions generated on the farms.</w:t>
      </w:r>
      <w:r w:rsidR="00002452" w:rsidRPr="00110F00">
        <w:rPr>
          <w:lang w:val="en-GB"/>
        </w:rPr>
        <w:t xml:space="preserve"> </w:t>
      </w:r>
      <w:r w:rsidRPr="00110F00">
        <w:rPr>
          <w:lang w:val="en-GB"/>
        </w:rPr>
        <w:t>In order to achieve «net zero» for these reported emissions</w:t>
      </w:r>
      <w:r w:rsidR="00442F27" w:rsidRPr="00110F00">
        <w:rPr>
          <w:lang w:val="en-GB"/>
        </w:rPr>
        <w:t xml:space="preserve">, there are three </w:t>
      </w:r>
      <w:r w:rsidR="00EA0FD0" w:rsidRPr="00110F00">
        <w:rPr>
          <w:lang w:val="en-GB"/>
        </w:rPr>
        <w:t xml:space="preserve">points of leverage </w:t>
      </w:r>
      <w:r w:rsidR="00442F27" w:rsidRPr="00110F00">
        <w:rPr>
          <w:lang w:val="en-GB"/>
        </w:rPr>
        <w:t>in agricultural production:</w:t>
      </w:r>
    </w:p>
    <w:p w14:paraId="66B4AD83" w14:textId="2DAF53B5" w:rsidR="00442F27" w:rsidRPr="00110F00" w:rsidRDefault="00442F27" w:rsidP="00442F27">
      <w:pPr>
        <w:pStyle w:val="FiBLnummerierung"/>
        <w:rPr>
          <w:lang w:val="en-GB"/>
        </w:rPr>
      </w:pPr>
      <w:r w:rsidRPr="00110F00">
        <w:rPr>
          <w:lang w:val="en-GB"/>
        </w:rPr>
        <w:lastRenderedPageBreak/>
        <w:t>Reducing GHG emissions.</w:t>
      </w:r>
    </w:p>
    <w:p w14:paraId="58FACABE" w14:textId="3A705DB4" w:rsidR="00442F27" w:rsidRPr="00110F00" w:rsidRDefault="00442F27" w:rsidP="00442F27">
      <w:pPr>
        <w:pStyle w:val="FiBLnummerierung"/>
        <w:rPr>
          <w:lang w:val="en-GB"/>
        </w:rPr>
      </w:pPr>
      <w:r w:rsidRPr="00110F00">
        <w:rPr>
          <w:lang w:val="en-GB"/>
        </w:rPr>
        <w:t xml:space="preserve">Compensating for unavoidable GHG emissions through permanent carbon (C) storage in </w:t>
      </w:r>
      <w:r w:rsidR="00EA0FD0" w:rsidRPr="00110F00">
        <w:rPr>
          <w:lang w:val="en-GB"/>
        </w:rPr>
        <w:t xml:space="preserve">agriculture’s </w:t>
      </w:r>
      <w:r w:rsidRPr="00110F00">
        <w:rPr>
          <w:lang w:val="en-GB"/>
        </w:rPr>
        <w:t xml:space="preserve">own </w:t>
      </w:r>
      <w:r w:rsidR="00EA0FD0" w:rsidRPr="00110F00">
        <w:rPr>
          <w:lang w:val="en-GB"/>
        </w:rPr>
        <w:t xml:space="preserve">sphere </w:t>
      </w:r>
      <w:r w:rsidRPr="00110F00">
        <w:rPr>
          <w:lang w:val="en-GB"/>
        </w:rPr>
        <w:t xml:space="preserve">of </w:t>
      </w:r>
      <w:r w:rsidR="00EA0FD0" w:rsidRPr="00110F00">
        <w:rPr>
          <w:lang w:val="en-GB"/>
        </w:rPr>
        <w:t xml:space="preserve">influence </w:t>
      </w:r>
      <w:r w:rsidR="00546BC4" w:rsidRPr="00110F00">
        <w:rPr>
          <w:lang w:val="en-GB"/>
        </w:rPr>
        <w:t xml:space="preserve">(carbon </w:t>
      </w:r>
      <w:r w:rsidRPr="00110F00">
        <w:rPr>
          <w:lang w:val="en-GB"/>
        </w:rPr>
        <w:t>sequestration).</w:t>
      </w:r>
    </w:p>
    <w:p w14:paraId="6BCCC007" w14:textId="1A7F6398" w:rsidR="00442F27" w:rsidRPr="00110F00" w:rsidRDefault="00442F27" w:rsidP="00442F27">
      <w:pPr>
        <w:pStyle w:val="FiBLnummerierung"/>
        <w:rPr>
          <w:lang w:val="en-GB"/>
        </w:rPr>
      </w:pPr>
      <w:r w:rsidRPr="00110F00">
        <w:rPr>
          <w:lang w:val="en-GB"/>
        </w:rPr>
        <w:t>Compensating for unavoidable GHG emissions by means of renewable energy generation.</w:t>
      </w:r>
    </w:p>
    <w:p w14:paraId="5D376C98" w14:textId="3B279966" w:rsidR="00AB7DD2" w:rsidRPr="00110F00" w:rsidRDefault="00D62311" w:rsidP="00442F27">
      <w:pPr>
        <w:pStyle w:val="FiBLnummerierung"/>
        <w:numPr>
          <w:ilvl w:val="0"/>
          <w:numId w:val="0"/>
        </w:numPr>
        <w:ind w:left="426"/>
        <w:rPr>
          <w:lang w:val="en-GB"/>
        </w:rPr>
      </w:pPr>
      <w:r w:rsidRPr="00D62311">
        <w:rPr>
          <w:lang w:val="en-GB"/>
        </w:rPr>
        <w:drawing>
          <wp:inline distT="0" distB="0" distL="0" distR="0" wp14:anchorId="7934A888" wp14:editId="50F866C5">
            <wp:extent cx="5400040" cy="3177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177540"/>
                    </a:xfrm>
                    <a:prstGeom prst="rect">
                      <a:avLst/>
                    </a:prstGeom>
                  </pic:spPr>
                </pic:pic>
              </a:graphicData>
            </a:graphic>
          </wp:inline>
        </w:drawing>
      </w:r>
      <w:bookmarkStart w:id="0" w:name="_GoBack"/>
      <w:bookmarkEnd w:id="0"/>
    </w:p>
    <w:p w14:paraId="164451AC" w14:textId="72462981" w:rsidR="008661D6" w:rsidRPr="00110F00" w:rsidRDefault="00442F27" w:rsidP="00D62311">
      <w:pPr>
        <w:pStyle w:val="FiBLbildunterschrift"/>
        <w:rPr>
          <w:lang w:val="en-GB"/>
        </w:rPr>
      </w:pPr>
      <w:bookmarkStart w:id="1" w:name="_Ref98331004"/>
      <w:r w:rsidRPr="00110F00">
        <w:rPr>
          <w:lang w:val="en-GB"/>
        </w:rPr>
        <w:t>Figure</w:t>
      </w:r>
      <w:r w:rsidR="00AB7DD2" w:rsidRPr="00110F00">
        <w:rPr>
          <w:lang w:val="en-GB"/>
        </w:rPr>
        <w:t xml:space="preserve"> </w:t>
      </w:r>
      <w:r w:rsidR="000F6EC5" w:rsidRPr="00110F00">
        <w:rPr>
          <w:lang w:val="en-GB"/>
        </w:rPr>
        <w:fldChar w:fldCharType="begin"/>
      </w:r>
      <w:r w:rsidR="000F6EC5" w:rsidRPr="00110F00">
        <w:rPr>
          <w:lang w:val="en-GB"/>
        </w:rPr>
        <w:instrText xml:space="preserve"> SEQ Abbildung \* ARABIC </w:instrText>
      </w:r>
      <w:r w:rsidR="000F6EC5" w:rsidRPr="00110F00">
        <w:rPr>
          <w:lang w:val="en-GB"/>
        </w:rPr>
        <w:fldChar w:fldCharType="separate"/>
      </w:r>
      <w:r w:rsidR="005C0B8E">
        <w:rPr>
          <w:noProof/>
          <w:lang w:val="en-GB"/>
        </w:rPr>
        <w:t>1</w:t>
      </w:r>
      <w:r w:rsidR="000F6EC5" w:rsidRPr="00110F00">
        <w:rPr>
          <w:lang w:val="en-GB"/>
        </w:rPr>
        <w:fldChar w:fldCharType="end"/>
      </w:r>
      <w:bookmarkEnd w:id="1"/>
      <w:r w:rsidR="00AB7DD2" w:rsidRPr="00110F00">
        <w:rPr>
          <w:lang w:val="en-GB"/>
        </w:rPr>
        <w:t xml:space="preserve">: </w:t>
      </w:r>
      <w:r w:rsidR="008661D6" w:rsidRPr="00110F00">
        <w:rPr>
          <w:lang w:val="en-GB"/>
        </w:rPr>
        <w:t xml:space="preserve">A possible pathway to net zero emissions in organic farming in Switzerland by 2040, including the food system. </w:t>
      </w:r>
    </w:p>
    <w:p w14:paraId="65094EBF" w14:textId="07C9C069" w:rsidR="00442F27" w:rsidRPr="00110F00" w:rsidRDefault="00EA0FD0" w:rsidP="00AB7DD2">
      <w:pPr>
        <w:pStyle w:val="FiBLstandard"/>
        <w:rPr>
          <w:lang w:val="en-GB"/>
        </w:rPr>
      </w:pPr>
      <w:r w:rsidRPr="00110F00">
        <w:rPr>
          <w:lang w:val="en-GB"/>
        </w:rPr>
        <w:t>The results of the study on pathways to carbon-neutral organic farming in Switzerland show the following:</w:t>
      </w:r>
    </w:p>
    <w:p w14:paraId="3D0F1E61" w14:textId="20CC9F79" w:rsidR="006D50D1" w:rsidRPr="00110F00" w:rsidRDefault="006D50D1" w:rsidP="006D50D1">
      <w:pPr>
        <w:pStyle w:val="FiBLaufzhlungszeichen"/>
        <w:rPr>
          <w:lang w:val="en-GB"/>
        </w:rPr>
      </w:pPr>
      <w:r w:rsidRPr="00110F00">
        <w:rPr>
          <w:lang w:val="en-GB"/>
        </w:rPr>
        <w:t>According to the current state of knowledge, the organic farming sector can reduce its greenhouse gas emissions by approximately 15% and offset 45% of its emissions, using the above three levers. This will require a wide range of actions and considerable effort on the part of farmers.</w:t>
      </w:r>
    </w:p>
    <w:p w14:paraId="08A9E9B6" w14:textId="5BD0150C" w:rsidR="006D50D1" w:rsidRPr="00110F00" w:rsidRDefault="006D50D1" w:rsidP="006D50D1">
      <w:pPr>
        <w:pStyle w:val="FiBLaufzhlungszeichen"/>
        <w:rPr>
          <w:lang w:val="en-GB"/>
        </w:rPr>
      </w:pPr>
      <w:r w:rsidRPr="00110F00">
        <w:rPr>
          <w:lang w:val="en-GB"/>
        </w:rPr>
        <w:t>Adjustments in consumer behaviour can reduce agricultural GHG emissions by a further 25%. This requires in particular a lower consumption of livestock-based foods by following the recommended food pyramid diet, and reductions</w:t>
      </w:r>
      <w:r w:rsidR="00546BC4" w:rsidRPr="00110F00">
        <w:rPr>
          <w:lang w:val="en-GB"/>
        </w:rPr>
        <w:t xml:space="preserve"> in food waste and food losses.</w:t>
      </w:r>
    </w:p>
    <w:p w14:paraId="274033A8" w14:textId="797794ED" w:rsidR="006D50D1" w:rsidRPr="00110F00" w:rsidRDefault="006D50D1" w:rsidP="006D50D1">
      <w:pPr>
        <w:pStyle w:val="FiBLaufzhlungszeichen"/>
        <w:rPr>
          <w:lang w:val="en-GB"/>
        </w:rPr>
      </w:pPr>
      <w:r w:rsidRPr="00110F00">
        <w:rPr>
          <w:lang w:val="en-GB"/>
        </w:rPr>
        <w:t>Further innovation in agriculture and consumption is also needed by 2040 to achieve the remaining 15% of the target.</w:t>
      </w:r>
    </w:p>
    <w:p w14:paraId="55261B36" w14:textId="77777777" w:rsidR="00AB7DD2" w:rsidRPr="00110F00" w:rsidRDefault="00AB7DD2" w:rsidP="00AB7DD2">
      <w:pPr>
        <w:pStyle w:val="FiBLstandard"/>
        <w:rPr>
          <w:lang w:val="en-GB"/>
        </w:rPr>
      </w:pPr>
    </w:p>
    <w:p w14:paraId="47991029" w14:textId="28A1572C" w:rsidR="006D50D1" w:rsidRPr="00110F00" w:rsidRDefault="006D50D1" w:rsidP="00AB7DD2">
      <w:pPr>
        <w:pStyle w:val="FiBLstandard"/>
        <w:rPr>
          <w:lang w:val="en-GB"/>
        </w:rPr>
      </w:pPr>
      <w:r w:rsidRPr="00110F00">
        <w:rPr>
          <w:lang w:val="en-GB"/>
        </w:rPr>
        <w:t xml:space="preserve">It must be emphasised that net zero is particularly challenging in agriculture in general and in organic agriculture in particular. This is mainly </w:t>
      </w:r>
      <w:r w:rsidR="00280AB3" w:rsidRPr="00110F00">
        <w:rPr>
          <w:lang w:val="en-GB"/>
        </w:rPr>
        <w:t xml:space="preserve">due </w:t>
      </w:r>
      <w:r w:rsidR="00546BC4" w:rsidRPr="00110F00">
        <w:rPr>
          <w:lang w:val="en-GB"/>
        </w:rPr>
        <w:t>to the fact that</w:t>
      </w:r>
      <w:r w:rsidRPr="00110F00">
        <w:rPr>
          <w:lang w:val="en-GB"/>
        </w:rPr>
        <w:t xml:space="preserve"> the biological and chemical processes underlying agricultural production inevitably lead to GHG emissions: Soils in receipt of nitrogenous fertilisers inevitably emit nitrous </w:t>
      </w:r>
      <w:r w:rsidRPr="00110F00">
        <w:rPr>
          <w:lang w:val="en-GB"/>
        </w:rPr>
        <w:lastRenderedPageBreak/>
        <w:t xml:space="preserve">oxide and cattle emit methane during digestion. Unlike in the energy sector, where </w:t>
      </w:r>
      <w:r w:rsidR="002F252E" w:rsidRPr="00110F00">
        <w:rPr>
          <w:lang w:val="en-GB"/>
        </w:rPr>
        <w:t xml:space="preserve">in principle a </w:t>
      </w:r>
      <w:r w:rsidRPr="00110F00">
        <w:rPr>
          <w:lang w:val="en-GB"/>
        </w:rPr>
        <w:t xml:space="preserve">decarbonisation </w:t>
      </w:r>
      <w:r w:rsidR="002F252E" w:rsidRPr="00110F00">
        <w:rPr>
          <w:lang w:val="en-GB"/>
        </w:rPr>
        <w:t xml:space="preserve">pathway </w:t>
      </w:r>
      <w:r w:rsidRPr="00110F00">
        <w:rPr>
          <w:lang w:val="en-GB"/>
        </w:rPr>
        <w:t xml:space="preserve">to renewable energy </w:t>
      </w:r>
      <w:r w:rsidR="002F252E" w:rsidRPr="00110F00">
        <w:rPr>
          <w:lang w:val="en-GB"/>
        </w:rPr>
        <w:t xml:space="preserve">with zero emissions </w:t>
      </w:r>
      <w:r w:rsidRPr="00110F00">
        <w:rPr>
          <w:lang w:val="en-GB"/>
        </w:rPr>
        <w:t xml:space="preserve">can be achieved </w:t>
      </w:r>
      <w:r w:rsidR="002F252E" w:rsidRPr="00110F00">
        <w:rPr>
          <w:lang w:val="en-GB"/>
        </w:rPr>
        <w:t>(gross –</w:t>
      </w:r>
      <w:r w:rsidRPr="00110F00">
        <w:rPr>
          <w:lang w:val="en-GB"/>
        </w:rPr>
        <w:t xml:space="preserve"> without the need for offsets), this is therefore not possible in agriculture, and efforts </w:t>
      </w:r>
      <w:r w:rsidR="002F252E" w:rsidRPr="00110F00">
        <w:rPr>
          <w:lang w:val="en-GB"/>
        </w:rPr>
        <w:t>will</w:t>
      </w:r>
      <w:r w:rsidRPr="00110F00">
        <w:rPr>
          <w:lang w:val="en-GB"/>
        </w:rPr>
        <w:t xml:space="preserve"> always </w:t>
      </w:r>
      <w:r w:rsidR="002F252E" w:rsidRPr="00110F00">
        <w:rPr>
          <w:lang w:val="en-GB"/>
        </w:rPr>
        <w:t xml:space="preserve">be </w:t>
      </w:r>
      <w:r w:rsidRPr="00110F00">
        <w:rPr>
          <w:lang w:val="en-GB"/>
        </w:rPr>
        <w:t>needed to offset the remaining unavoidable emissions as part of a net-zero strategy.</w:t>
      </w:r>
      <w:r w:rsidR="00002452" w:rsidRPr="00110F00">
        <w:rPr>
          <w:lang w:val="en-GB"/>
        </w:rPr>
        <w:t xml:space="preserve"> </w:t>
      </w:r>
      <w:r w:rsidRPr="00110F00">
        <w:rPr>
          <w:lang w:val="en-GB"/>
        </w:rPr>
        <w:t xml:space="preserve">Moreover, a number of other aspects, such as animal welfare, are key concerns in organic agriculture. The decision taken by Bio Suisse in autumn 2021 to ban the killing of male chicks, for example, will </w:t>
      </w:r>
      <w:r w:rsidR="002F252E" w:rsidRPr="00110F00">
        <w:rPr>
          <w:lang w:val="en-GB"/>
        </w:rPr>
        <w:t>likely increase</w:t>
      </w:r>
      <w:r w:rsidRPr="00110F00">
        <w:rPr>
          <w:lang w:val="en-GB"/>
        </w:rPr>
        <w:t xml:space="preserve"> emissions. This makes it all the more important </w:t>
      </w:r>
      <w:r w:rsidR="00E102FF" w:rsidRPr="00110F00">
        <w:rPr>
          <w:lang w:val="en-GB"/>
        </w:rPr>
        <w:t xml:space="preserve">if </w:t>
      </w:r>
      <w:r w:rsidRPr="00110F00">
        <w:rPr>
          <w:lang w:val="en-GB"/>
        </w:rPr>
        <w:t xml:space="preserve">net-zero targets </w:t>
      </w:r>
      <w:r w:rsidR="00E102FF" w:rsidRPr="00110F00">
        <w:rPr>
          <w:lang w:val="en-GB"/>
        </w:rPr>
        <w:t xml:space="preserve">are to be attained </w:t>
      </w:r>
      <w:r w:rsidRPr="00110F00">
        <w:rPr>
          <w:lang w:val="en-GB"/>
        </w:rPr>
        <w:t xml:space="preserve">in agriculture that all those involved in the food system, i.e. agriculture, processing and consumption, work together in order to really exploit all </w:t>
      </w:r>
      <w:r w:rsidR="002F252E" w:rsidRPr="00110F00">
        <w:rPr>
          <w:lang w:val="en-GB"/>
        </w:rPr>
        <w:t>opportunities</w:t>
      </w:r>
      <w:r w:rsidRPr="00110F00">
        <w:rPr>
          <w:lang w:val="en-GB"/>
        </w:rPr>
        <w:t xml:space="preserve"> for reducing avoidable emissions.</w:t>
      </w:r>
    </w:p>
    <w:p w14:paraId="0C2109FB" w14:textId="54B5F620" w:rsidR="002F252E" w:rsidRPr="00110F00" w:rsidRDefault="002F252E" w:rsidP="00AB7DD2">
      <w:pPr>
        <w:pStyle w:val="FiBLstandard"/>
        <w:rPr>
          <w:lang w:val="en-GB"/>
        </w:rPr>
      </w:pPr>
      <w:r w:rsidRPr="00110F00">
        <w:rPr>
          <w:lang w:val="en-GB"/>
        </w:rPr>
        <w:t xml:space="preserve">From this starting point, the study sets out possible pathways to a carbon-neutral Swiss organic farming sector, including </w:t>
      </w:r>
      <w:r w:rsidR="00E102FF" w:rsidRPr="00110F00">
        <w:rPr>
          <w:lang w:val="en-GB"/>
        </w:rPr>
        <w:t>guidance</w:t>
      </w:r>
      <w:r w:rsidRPr="00110F00">
        <w:rPr>
          <w:lang w:val="en-GB"/>
        </w:rPr>
        <w:t xml:space="preserve"> for practical action. </w:t>
      </w:r>
      <w:r w:rsidR="006626EC" w:rsidRPr="00110F00">
        <w:rPr>
          <w:lang w:val="en-GB"/>
        </w:rPr>
        <w:t>In addition</w:t>
      </w:r>
      <w:r w:rsidRPr="00110F00">
        <w:rPr>
          <w:lang w:val="en-GB"/>
        </w:rPr>
        <w:t xml:space="preserve">, </w:t>
      </w:r>
      <w:r w:rsidR="006626EC" w:rsidRPr="00110F00">
        <w:rPr>
          <w:lang w:val="en-GB"/>
        </w:rPr>
        <w:t>the study compile</w:t>
      </w:r>
      <w:r w:rsidR="00E102FF" w:rsidRPr="00110F00">
        <w:rPr>
          <w:lang w:val="en-GB"/>
        </w:rPr>
        <w:t>s</w:t>
      </w:r>
      <w:r w:rsidR="006626EC" w:rsidRPr="00110F00">
        <w:rPr>
          <w:lang w:val="en-GB"/>
        </w:rPr>
        <w:t xml:space="preserve"> and critically assesse</w:t>
      </w:r>
      <w:r w:rsidR="00E102FF" w:rsidRPr="00110F00">
        <w:rPr>
          <w:lang w:val="en-GB"/>
        </w:rPr>
        <w:t>s</w:t>
      </w:r>
      <w:r w:rsidR="006626EC" w:rsidRPr="00110F00">
        <w:rPr>
          <w:lang w:val="en-GB"/>
        </w:rPr>
        <w:t xml:space="preserve"> </w:t>
      </w:r>
      <w:r w:rsidRPr="00110F00">
        <w:rPr>
          <w:lang w:val="en-GB"/>
        </w:rPr>
        <w:t xml:space="preserve">current knowledge </w:t>
      </w:r>
      <w:r w:rsidR="006626EC" w:rsidRPr="00110F00">
        <w:rPr>
          <w:lang w:val="en-GB"/>
        </w:rPr>
        <w:t>on</w:t>
      </w:r>
      <w:r w:rsidRPr="00110F00">
        <w:rPr>
          <w:lang w:val="en-GB"/>
        </w:rPr>
        <w:t xml:space="preserve"> the </w:t>
      </w:r>
      <w:r w:rsidR="00E102FF" w:rsidRPr="00110F00">
        <w:rPr>
          <w:lang w:val="en-GB"/>
        </w:rPr>
        <w:t xml:space="preserve">key </w:t>
      </w:r>
      <w:r w:rsidRPr="00110F00">
        <w:rPr>
          <w:lang w:val="en-GB"/>
        </w:rPr>
        <w:t xml:space="preserve">reduction and compensation </w:t>
      </w:r>
      <w:r w:rsidR="00E102FF" w:rsidRPr="00110F00">
        <w:rPr>
          <w:lang w:val="en-GB"/>
        </w:rPr>
        <w:t>actions</w:t>
      </w:r>
      <w:r w:rsidRPr="00110F00">
        <w:rPr>
          <w:lang w:val="en-GB"/>
        </w:rPr>
        <w:t>.</w:t>
      </w:r>
    </w:p>
    <w:p w14:paraId="0B1908F7" w14:textId="696244C8" w:rsidR="001730EE" w:rsidRPr="00110F00" w:rsidRDefault="006626EC" w:rsidP="006626EC">
      <w:pPr>
        <w:pStyle w:val="FiBLberschrift1"/>
        <w:rPr>
          <w:lang w:val="en-GB"/>
        </w:rPr>
      </w:pPr>
      <w:r w:rsidRPr="00110F00">
        <w:rPr>
          <w:lang w:val="en-GB"/>
        </w:rPr>
        <w:t>Reductions in GHG emissions</w:t>
      </w:r>
    </w:p>
    <w:p w14:paraId="489AE956" w14:textId="56E5E533" w:rsidR="006626EC" w:rsidRPr="00110F00" w:rsidRDefault="006626EC" w:rsidP="001730EE">
      <w:pPr>
        <w:pStyle w:val="FiBLstandard"/>
        <w:rPr>
          <w:lang w:val="en-GB"/>
        </w:rPr>
      </w:pPr>
      <w:r w:rsidRPr="00110F00">
        <w:rPr>
          <w:lang w:val="en-GB"/>
        </w:rPr>
        <w:t xml:space="preserve">Consistent implementation of a wide range of measures would allow organic farms in Switzerland to achieve roughly a 15% reduction in GHG emissions. Farms have different options here depending on their location and enterprises. These must be </w:t>
      </w:r>
      <w:proofErr w:type="gramStart"/>
      <w:r w:rsidRPr="00110F00">
        <w:rPr>
          <w:lang w:val="en-GB"/>
        </w:rPr>
        <w:t>taken into account</w:t>
      </w:r>
      <w:proofErr w:type="gramEnd"/>
      <w:r w:rsidRPr="00110F00">
        <w:rPr>
          <w:lang w:val="en-GB"/>
        </w:rPr>
        <w:t xml:space="preserve"> in the implementation.</w:t>
      </w:r>
    </w:p>
    <w:p w14:paraId="35ACAECD" w14:textId="63B01EE3" w:rsidR="001730EE" w:rsidRPr="00110F00" w:rsidRDefault="006626EC" w:rsidP="006626EC">
      <w:pPr>
        <w:pStyle w:val="FiBLberschrift2"/>
        <w:rPr>
          <w:lang w:val="en-GB"/>
        </w:rPr>
      </w:pPr>
      <w:r w:rsidRPr="00110F00">
        <w:rPr>
          <w:lang w:val="en-GB"/>
        </w:rPr>
        <w:t xml:space="preserve">GHG </w:t>
      </w:r>
      <w:r w:rsidR="00BF7028" w:rsidRPr="00110F00">
        <w:rPr>
          <w:lang w:val="en-GB"/>
        </w:rPr>
        <w:t xml:space="preserve">emission </w:t>
      </w:r>
      <w:r w:rsidRPr="00110F00">
        <w:rPr>
          <w:lang w:val="en-GB"/>
        </w:rPr>
        <w:t>reductions in livestock farming</w:t>
      </w:r>
    </w:p>
    <w:p w14:paraId="3E12AF72" w14:textId="1F0A844B" w:rsidR="006626EC" w:rsidRPr="00110F00" w:rsidRDefault="006626EC" w:rsidP="001730EE">
      <w:pPr>
        <w:pStyle w:val="FiBLstandard"/>
        <w:rPr>
          <w:lang w:val="en-GB"/>
        </w:rPr>
      </w:pPr>
      <w:r w:rsidRPr="00110F00">
        <w:rPr>
          <w:lang w:val="en-GB"/>
        </w:rPr>
        <w:t xml:space="preserve">The GHG emissions from the Swiss organic farming </w:t>
      </w:r>
      <w:proofErr w:type="gramStart"/>
      <w:r w:rsidRPr="00110F00">
        <w:rPr>
          <w:lang w:val="en-GB"/>
        </w:rPr>
        <w:t>sector‘</w:t>
      </w:r>
      <w:proofErr w:type="gramEnd"/>
      <w:r w:rsidRPr="00110F00">
        <w:rPr>
          <w:lang w:val="en-GB"/>
        </w:rPr>
        <w:t>s livestock enterprises (ruminants, pigs, poultry) are estimated at 0.65 million tonnes of CO</w:t>
      </w:r>
      <w:r w:rsidRPr="00110F00">
        <w:rPr>
          <w:vertAlign w:val="subscript"/>
          <w:lang w:val="en-GB"/>
        </w:rPr>
        <w:t>2</w:t>
      </w:r>
      <w:r w:rsidRPr="00110F00">
        <w:rPr>
          <w:lang w:val="en-GB"/>
        </w:rPr>
        <w:t xml:space="preserve"> equivalents. This quantity is the starting point for the reduction potential </w:t>
      </w:r>
      <w:r w:rsidR="00E102FF" w:rsidRPr="00110F00">
        <w:rPr>
          <w:lang w:val="en-GB"/>
        </w:rPr>
        <w:t xml:space="preserve">available </w:t>
      </w:r>
      <w:r w:rsidRPr="00110F00">
        <w:rPr>
          <w:lang w:val="en-GB"/>
        </w:rPr>
        <w:t>in this sector.</w:t>
      </w:r>
    </w:p>
    <w:p w14:paraId="02BF8D1A" w14:textId="77777777" w:rsidR="00DC6705" w:rsidRPr="00110F00" w:rsidRDefault="00DC6705" w:rsidP="001730EE">
      <w:pPr>
        <w:pStyle w:val="FiBLstandard"/>
        <w:rPr>
          <w:lang w:val="en-GB"/>
        </w:rPr>
      </w:pPr>
    </w:p>
    <w:p w14:paraId="4E41A6D8" w14:textId="07D4B6DA" w:rsidR="006626EC" w:rsidRPr="00110F00" w:rsidRDefault="00DC6705" w:rsidP="00DC6705">
      <w:pPr>
        <w:pStyle w:val="FiBLtabelleberschrift"/>
        <w:keepNext/>
        <w:rPr>
          <w:lang w:val="en-GB"/>
        </w:rPr>
      </w:pPr>
      <w:r w:rsidRPr="00110F00">
        <w:rPr>
          <w:lang w:val="en-GB"/>
        </w:rPr>
        <w:t xml:space="preserve">Table </w:t>
      </w:r>
      <w:r w:rsidR="000F6EC5" w:rsidRPr="00110F00">
        <w:rPr>
          <w:lang w:val="en-GB"/>
        </w:rPr>
        <w:fldChar w:fldCharType="begin"/>
      </w:r>
      <w:r w:rsidR="000F6EC5" w:rsidRPr="00110F00">
        <w:rPr>
          <w:lang w:val="en-GB"/>
        </w:rPr>
        <w:instrText xml:space="preserve"> SEQ Tabelle \* ARABIC </w:instrText>
      </w:r>
      <w:r w:rsidR="000F6EC5" w:rsidRPr="00110F00">
        <w:rPr>
          <w:lang w:val="en-GB"/>
        </w:rPr>
        <w:fldChar w:fldCharType="separate"/>
      </w:r>
      <w:r w:rsidR="005C0B8E">
        <w:rPr>
          <w:noProof/>
          <w:lang w:val="en-GB"/>
        </w:rPr>
        <w:t>1</w:t>
      </w:r>
      <w:r w:rsidR="000F6EC5" w:rsidRPr="00110F00">
        <w:rPr>
          <w:lang w:val="en-GB"/>
        </w:rPr>
        <w:fldChar w:fldCharType="end"/>
      </w:r>
      <w:r w:rsidRPr="00110F00">
        <w:rPr>
          <w:lang w:val="en-GB"/>
        </w:rPr>
        <w:t xml:space="preserve">: </w:t>
      </w:r>
      <w:r w:rsidR="006626EC" w:rsidRPr="00110F00">
        <w:rPr>
          <w:lang w:val="en-GB"/>
        </w:rPr>
        <w:t xml:space="preserve">Estimated greenhouse gas </w:t>
      </w:r>
      <w:r w:rsidR="00934CC9" w:rsidRPr="00110F00">
        <w:rPr>
          <w:lang w:val="en-GB"/>
        </w:rPr>
        <w:t>emissions</w:t>
      </w:r>
      <w:r w:rsidR="006626EC" w:rsidRPr="00110F00">
        <w:rPr>
          <w:lang w:val="en-GB"/>
        </w:rPr>
        <w:t xml:space="preserve"> </w:t>
      </w:r>
      <w:r w:rsidR="00934CC9" w:rsidRPr="00110F00">
        <w:rPr>
          <w:lang w:val="en-GB"/>
        </w:rPr>
        <w:t>from</w:t>
      </w:r>
      <w:r w:rsidR="006626EC" w:rsidRPr="00110F00">
        <w:rPr>
          <w:lang w:val="en-GB"/>
        </w:rPr>
        <w:t xml:space="preserve"> the different livestock populations in t CO</w:t>
      </w:r>
      <w:r w:rsidR="006626EC" w:rsidRPr="00110F00">
        <w:rPr>
          <w:vertAlign w:val="subscript"/>
          <w:lang w:val="en-GB"/>
        </w:rPr>
        <w:t>2</w:t>
      </w:r>
      <w:r w:rsidR="00934CC9" w:rsidRPr="00110F00">
        <w:rPr>
          <w:lang w:val="en-GB"/>
        </w:rPr>
        <w:t>-</w:t>
      </w:r>
      <w:r w:rsidR="006626EC" w:rsidRPr="00110F00">
        <w:rPr>
          <w:lang w:val="en-GB"/>
        </w:rPr>
        <w:t xml:space="preserve">eq per year </w:t>
      </w:r>
    </w:p>
    <w:tbl>
      <w:tblPr>
        <w:tblStyle w:val="FiBLtabelle1"/>
        <w:tblW w:w="0" w:type="auto"/>
        <w:tblLook w:val="04A0" w:firstRow="1" w:lastRow="0" w:firstColumn="1" w:lastColumn="0" w:noHBand="0" w:noVBand="1"/>
      </w:tblPr>
      <w:tblGrid>
        <w:gridCol w:w="1815"/>
        <w:gridCol w:w="1335"/>
        <w:gridCol w:w="1385"/>
        <w:gridCol w:w="1320"/>
        <w:gridCol w:w="1324"/>
        <w:gridCol w:w="1309"/>
      </w:tblGrid>
      <w:tr w:rsidR="00DC6705" w:rsidRPr="00110F00" w14:paraId="301909BD" w14:textId="77777777" w:rsidTr="00DC6705">
        <w:tc>
          <w:tcPr>
            <w:tcW w:w="1815" w:type="dxa"/>
          </w:tcPr>
          <w:p w14:paraId="550486C9" w14:textId="77777777" w:rsidR="001730EE" w:rsidRPr="00110F00" w:rsidRDefault="001730EE" w:rsidP="001730EE">
            <w:pPr>
              <w:pStyle w:val="FiBLstandard"/>
              <w:rPr>
                <w:lang w:val="en-GB"/>
              </w:rPr>
            </w:pPr>
          </w:p>
        </w:tc>
        <w:tc>
          <w:tcPr>
            <w:tcW w:w="1335" w:type="dxa"/>
          </w:tcPr>
          <w:p w14:paraId="29B3A6A3" w14:textId="08F75D66" w:rsidR="001730EE" w:rsidRPr="00110F00" w:rsidRDefault="00934CC9" w:rsidP="00DC6705">
            <w:pPr>
              <w:pStyle w:val="FiBLtabellekopfzeile"/>
              <w:rPr>
                <w:lang w:val="en-GB"/>
              </w:rPr>
            </w:pPr>
            <w:r w:rsidRPr="00110F00">
              <w:rPr>
                <w:lang w:val="en-GB"/>
              </w:rPr>
              <w:t>No. of animals</w:t>
            </w:r>
          </w:p>
        </w:tc>
        <w:tc>
          <w:tcPr>
            <w:tcW w:w="1385" w:type="dxa"/>
          </w:tcPr>
          <w:p w14:paraId="6C0C77FB" w14:textId="6D14ACFF" w:rsidR="001730EE" w:rsidRPr="00110F00" w:rsidRDefault="00934CC9" w:rsidP="00DC6705">
            <w:pPr>
              <w:pStyle w:val="FiBLtabellekopfzeile"/>
              <w:rPr>
                <w:lang w:val="en-GB"/>
              </w:rPr>
            </w:pPr>
            <w:r w:rsidRPr="00110F00">
              <w:rPr>
                <w:lang w:val="en-GB"/>
              </w:rPr>
              <w:t>Enteric methane</w:t>
            </w:r>
          </w:p>
        </w:tc>
        <w:tc>
          <w:tcPr>
            <w:tcW w:w="1320" w:type="dxa"/>
          </w:tcPr>
          <w:p w14:paraId="3563BDF0" w14:textId="454D641C" w:rsidR="001730EE" w:rsidRPr="00110F00" w:rsidRDefault="00934CC9" w:rsidP="00DC6705">
            <w:pPr>
              <w:pStyle w:val="FiBLtabellekopfzeile"/>
              <w:rPr>
                <w:lang w:val="en-GB"/>
              </w:rPr>
            </w:pPr>
            <w:r w:rsidRPr="00110F00">
              <w:rPr>
                <w:lang w:val="en-GB"/>
              </w:rPr>
              <w:t>Methane from faeces</w:t>
            </w:r>
          </w:p>
        </w:tc>
        <w:tc>
          <w:tcPr>
            <w:tcW w:w="1324" w:type="dxa"/>
          </w:tcPr>
          <w:p w14:paraId="4E7A6D70" w14:textId="41BEDF8C" w:rsidR="001730EE" w:rsidRPr="00110F00" w:rsidRDefault="00934CC9" w:rsidP="00DC6705">
            <w:pPr>
              <w:pStyle w:val="FiBLtabellekopfzeile"/>
              <w:rPr>
                <w:lang w:val="en-GB"/>
              </w:rPr>
            </w:pPr>
            <w:r w:rsidRPr="00110F00">
              <w:rPr>
                <w:lang w:val="en-GB"/>
              </w:rPr>
              <w:t>Nitrous oxide</w:t>
            </w:r>
          </w:p>
        </w:tc>
        <w:tc>
          <w:tcPr>
            <w:tcW w:w="1309" w:type="dxa"/>
          </w:tcPr>
          <w:p w14:paraId="49C545F1" w14:textId="4DE64A83" w:rsidR="001730EE" w:rsidRPr="00110F00" w:rsidRDefault="001730EE" w:rsidP="00DC6705">
            <w:pPr>
              <w:pStyle w:val="FiBLtabellekopfzeile"/>
              <w:rPr>
                <w:lang w:val="en-GB"/>
              </w:rPr>
            </w:pPr>
            <w:r w:rsidRPr="00110F00">
              <w:rPr>
                <w:lang w:val="en-GB"/>
              </w:rPr>
              <w:t>Total</w:t>
            </w:r>
            <w:r w:rsidR="00934CC9" w:rsidRPr="00110F00">
              <w:rPr>
                <w:lang w:val="en-GB"/>
              </w:rPr>
              <w:t>s</w:t>
            </w:r>
          </w:p>
        </w:tc>
      </w:tr>
      <w:tr w:rsidR="00DC6705" w:rsidRPr="00110F00" w14:paraId="02AEE24E" w14:textId="77777777" w:rsidTr="00DC6705">
        <w:tc>
          <w:tcPr>
            <w:tcW w:w="1815" w:type="dxa"/>
          </w:tcPr>
          <w:p w14:paraId="4B9773AC" w14:textId="60B68461" w:rsidR="001730EE" w:rsidRPr="00110F00" w:rsidRDefault="00934CC9" w:rsidP="00DC6705">
            <w:pPr>
              <w:pStyle w:val="FiBLtabelletext"/>
              <w:rPr>
                <w:lang w:val="en-GB"/>
              </w:rPr>
            </w:pPr>
            <w:r w:rsidRPr="00110F00">
              <w:rPr>
                <w:lang w:val="en-GB"/>
              </w:rPr>
              <w:t>Small ruminants</w:t>
            </w:r>
          </w:p>
        </w:tc>
        <w:tc>
          <w:tcPr>
            <w:tcW w:w="1335" w:type="dxa"/>
          </w:tcPr>
          <w:p w14:paraId="0C3D696D" w14:textId="73699969" w:rsidR="001730EE" w:rsidRPr="00110F00" w:rsidRDefault="001730EE" w:rsidP="00DC6705">
            <w:pPr>
              <w:pStyle w:val="FiBLtabelletext"/>
              <w:rPr>
                <w:lang w:val="en-GB"/>
              </w:rPr>
            </w:pPr>
            <w:r w:rsidRPr="00110F00">
              <w:rPr>
                <w:lang w:val="en-GB"/>
              </w:rPr>
              <w:t>123’635</w:t>
            </w:r>
          </w:p>
        </w:tc>
        <w:tc>
          <w:tcPr>
            <w:tcW w:w="1385" w:type="dxa"/>
          </w:tcPr>
          <w:p w14:paraId="2B022934" w14:textId="63746EEB" w:rsidR="001730EE" w:rsidRPr="00110F00" w:rsidRDefault="001730EE" w:rsidP="00DC6705">
            <w:pPr>
              <w:pStyle w:val="FiBLtabelletext"/>
              <w:rPr>
                <w:lang w:val="en-GB"/>
              </w:rPr>
            </w:pPr>
            <w:r w:rsidRPr="00110F00">
              <w:rPr>
                <w:lang w:val="en-GB"/>
              </w:rPr>
              <w:t>31’379</w:t>
            </w:r>
          </w:p>
        </w:tc>
        <w:tc>
          <w:tcPr>
            <w:tcW w:w="1320" w:type="dxa"/>
          </w:tcPr>
          <w:p w14:paraId="0CF388FC" w14:textId="2D77426F" w:rsidR="001730EE" w:rsidRPr="00110F00" w:rsidRDefault="00DC6705" w:rsidP="00DC6705">
            <w:pPr>
              <w:pStyle w:val="FiBLtabelletext"/>
              <w:rPr>
                <w:lang w:val="en-GB"/>
              </w:rPr>
            </w:pPr>
            <w:r w:rsidRPr="00110F00">
              <w:rPr>
                <w:lang w:val="en-GB"/>
              </w:rPr>
              <w:t>982</w:t>
            </w:r>
          </w:p>
        </w:tc>
        <w:tc>
          <w:tcPr>
            <w:tcW w:w="1324" w:type="dxa"/>
          </w:tcPr>
          <w:p w14:paraId="75DADDE5" w14:textId="6FEB910E" w:rsidR="001730EE" w:rsidRPr="00110F00" w:rsidRDefault="00DC6705" w:rsidP="00DC6705">
            <w:pPr>
              <w:pStyle w:val="FiBLtabelletext"/>
              <w:rPr>
                <w:lang w:val="en-GB"/>
              </w:rPr>
            </w:pPr>
            <w:r w:rsidRPr="00110F00">
              <w:rPr>
                <w:lang w:val="en-GB"/>
              </w:rPr>
              <w:t>6’230</w:t>
            </w:r>
          </w:p>
        </w:tc>
        <w:tc>
          <w:tcPr>
            <w:tcW w:w="1309" w:type="dxa"/>
          </w:tcPr>
          <w:p w14:paraId="687F9CCA" w14:textId="4F54023E" w:rsidR="001730EE" w:rsidRPr="00110F00" w:rsidRDefault="00DC6705" w:rsidP="00DC6705">
            <w:pPr>
              <w:pStyle w:val="FiBLtabelletext"/>
              <w:rPr>
                <w:lang w:val="en-GB"/>
              </w:rPr>
            </w:pPr>
            <w:r w:rsidRPr="00110F00">
              <w:rPr>
                <w:lang w:val="en-GB"/>
              </w:rPr>
              <w:t>38’592</w:t>
            </w:r>
          </w:p>
        </w:tc>
      </w:tr>
      <w:tr w:rsidR="00DC6705" w:rsidRPr="00110F00" w14:paraId="302DE98E" w14:textId="77777777" w:rsidTr="00DC6705">
        <w:tc>
          <w:tcPr>
            <w:tcW w:w="1815" w:type="dxa"/>
          </w:tcPr>
          <w:p w14:paraId="0A2C738D" w14:textId="2F179035" w:rsidR="001730EE" w:rsidRPr="00110F00" w:rsidRDefault="00934CC9" w:rsidP="00DC6705">
            <w:pPr>
              <w:pStyle w:val="FiBLtabelletext"/>
              <w:rPr>
                <w:lang w:val="en-GB"/>
              </w:rPr>
            </w:pPr>
            <w:r w:rsidRPr="00110F00">
              <w:rPr>
                <w:lang w:val="en-GB"/>
              </w:rPr>
              <w:t>Cattle</w:t>
            </w:r>
          </w:p>
        </w:tc>
        <w:tc>
          <w:tcPr>
            <w:tcW w:w="1335" w:type="dxa"/>
          </w:tcPr>
          <w:p w14:paraId="665997F4" w14:textId="28D80AB5" w:rsidR="001730EE" w:rsidRPr="00110F00" w:rsidRDefault="00DC6705" w:rsidP="00DC6705">
            <w:pPr>
              <w:pStyle w:val="FiBLtabelletext"/>
              <w:rPr>
                <w:lang w:val="en-GB"/>
              </w:rPr>
            </w:pPr>
            <w:r w:rsidRPr="00110F00">
              <w:rPr>
                <w:lang w:val="en-GB"/>
              </w:rPr>
              <w:t>202’552</w:t>
            </w:r>
          </w:p>
        </w:tc>
        <w:tc>
          <w:tcPr>
            <w:tcW w:w="1385" w:type="dxa"/>
          </w:tcPr>
          <w:p w14:paraId="16275129" w14:textId="5DE61242" w:rsidR="001730EE" w:rsidRPr="00110F00" w:rsidRDefault="00DC6705" w:rsidP="00DC6705">
            <w:pPr>
              <w:pStyle w:val="FiBLtabelletext"/>
              <w:rPr>
                <w:lang w:val="en-GB"/>
              </w:rPr>
            </w:pPr>
            <w:r w:rsidRPr="00110F00">
              <w:rPr>
                <w:lang w:val="en-GB"/>
              </w:rPr>
              <w:t>469’777</w:t>
            </w:r>
          </w:p>
        </w:tc>
        <w:tc>
          <w:tcPr>
            <w:tcW w:w="1320" w:type="dxa"/>
          </w:tcPr>
          <w:p w14:paraId="7D61612A" w14:textId="68600268" w:rsidR="001730EE" w:rsidRPr="00110F00" w:rsidRDefault="00DC6705" w:rsidP="00DC6705">
            <w:pPr>
              <w:pStyle w:val="FiBLtabelletext"/>
              <w:rPr>
                <w:lang w:val="en-GB"/>
              </w:rPr>
            </w:pPr>
            <w:r w:rsidRPr="00110F00">
              <w:rPr>
                <w:lang w:val="en-GB"/>
              </w:rPr>
              <w:t>92’180</w:t>
            </w:r>
          </w:p>
        </w:tc>
        <w:tc>
          <w:tcPr>
            <w:tcW w:w="1324" w:type="dxa"/>
          </w:tcPr>
          <w:p w14:paraId="1BD98F35" w14:textId="503B0F52" w:rsidR="001730EE" w:rsidRPr="00110F00" w:rsidRDefault="00DC6705" w:rsidP="00DC6705">
            <w:pPr>
              <w:pStyle w:val="FiBLtabelletext"/>
              <w:rPr>
                <w:lang w:val="en-GB"/>
              </w:rPr>
            </w:pPr>
            <w:r w:rsidRPr="00110F00">
              <w:rPr>
                <w:lang w:val="en-GB"/>
              </w:rPr>
              <w:t>44’795</w:t>
            </w:r>
          </w:p>
        </w:tc>
        <w:tc>
          <w:tcPr>
            <w:tcW w:w="1309" w:type="dxa"/>
          </w:tcPr>
          <w:p w14:paraId="04579CFB" w14:textId="40D550A0" w:rsidR="001730EE" w:rsidRPr="00110F00" w:rsidRDefault="00DC6705" w:rsidP="00DC6705">
            <w:pPr>
              <w:pStyle w:val="FiBLtabelletext"/>
              <w:rPr>
                <w:lang w:val="en-GB"/>
              </w:rPr>
            </w:pPr>
            <w:r w:rsidRPr="00110F00">
              <w:rPr>
                <w:lang w:val="en-GB"/>
              </w:rPr>
              <w:t>606’752</w:t>
            </w:r>
          </w:p>
        </w:tc>
      </w:tr>
      <w:tr w:rsidR="00DC6705" w:rsidRPr="00110F00" w14:paraId="2CD27D9E" w14:textId="77777777" w:rsidTr="00DC6705">
        <w:tc>
          <w:tcPr>
            <w:tcW w:w="1815" w:type="dxa"/>
          </w:tcPr>
          <w:p w14:paraId="6C65B20B" w14:textId="53E1384C" w:rsidR="001730EE" w:rsidRPr="00110F00" w:rsidRDefault="00934CC9" w:rsidP="00DC6705">
            <w:pPr>
              <w:pStyle w:val="FiBLtabelletext"/>
              <w:rPr>
                <w:lang w:val="en-GB"/>
              </w:rPr>
            </w:pPr>
            <w:r w:rsidRPr="00110F00">
              <w:rPr>
                <w:lang w:val="en-GB"/>
              </w:rPr>
              <w:t>Pigs</w:t>
            </w:r>
          </w:p>
        </w:tc>
        <w:tc>
          <w:tcPr>
            <w:tcW w:w="1335" w:type="dxa"/>
          </w:tcPr>
          <w:p w14:paraId="146C3873" w14:textId="684AAB32" w:rsidR="001730EE" w:rsidRPr="00110F00" w:rsidRDefault="00DC6705" w:rsidP="00DC6705">
            <w:pPr>
              <w:pStyle w:val="FiBLtabelletext"/>
              <w:rPr>
                <w:lang w:val="en-GB"/>
              </w:rPr>
            </w:pPr>
            <w:r w:rsidRPr="00110F00">
              <w:rPr>
                <w:lang w:val="en-GB"/>
              </w:rPr>
              <w:t>29’412</w:t>
            </w:r>
          </w:p>
        </w:tc>
        <w:tc>
          <w:tcPr>
            <w:tcW w:w="1385" w:type="dxa"/>
          </w:tcPr>
          <w:p w14:paraId="16BE4F59" w14:textId="31A0757D" w:rsidR="001730EE" w:rsidRPr="00110F00" w:rsidRDefault="00DC6705" w:rsidP="00DC6705">
            <w:pPr>
              <w:pStyle w:val="FiBLtabelletext"/>
              <w:rPr>
                <w:lang w:val="en-GB"/>
              </w:rPr>
            </w:pPr>
            <w:r w:rsidRPr="00110F00">
              <w:rPr>
                <w:lang w:val="en-GB"/>
              </w:rPr>
              <w:t>1’467</w:t>
            </w:r>
          </w:p>
        </w:tc>
        <w:tc>
          <w:tcPr>
            <w:tcW w:w="1320" w:type="dxa"/>
          </w:tcPr>
          <w:p w14:paraId="1DF6CC52" w14:textId="2519A420" w:rsidR="001730EE" w:rsidRPr="00110F00" w:rsidRDefault="00DC6705" w:rsidP="00DC6705">
            <w:pPr>
              <w:pStyle w:val="FiBLtabelletext"/>
              <w:rPr>
                <w:lang w:val="en-GB"/>
              </w:rPr>
            </w:pPr>
            <w:r w:rsidRPr="00110F00">
              <w:rPr>
                <w:lang w:val="en-GB"/>
              </w:rPr>
              <w:t>1’525</w:t>
            </w:r>
          </w:p>
        </w:tc>
        <w:tc>
          <w:tcPr>
            <w:tcW w:w="1324" w:type="dxa"/>
          </w:tcPr>
          <w:p w14:paraId="2009281A" w14:textId="0FC48789" w:rsidR="001730EE" w:rsidRPr="00110F00" w:rsidRDefault="00DC6705" w:rsidP="00DC6705">
            <w:pPr>
              <w:pStyle w:val="FiBLtabelletext"/>
              <w:rPr>
                <w:lang w:val="en-GB"/>
              </w:rPr>
            </w:pPr>
            <w:r w:rsidRPr="00110F00">
              <w:rPr>
                <w:lang w:val="en-GB"/>
              </w:rPr>
              <w:t>257</w:t>
            </w:r>
          </w:p>
        </w:tc>
        <w:tc>
          <w:tcPr>
            <w:tcW w:w="1309" w:type="dxa"/>
          </w:tcPr>
          <w:p w14:paraId="1A543DC5" w14:textId="24DD0B96" w:rsidR="001730EE" w:rsidRPr="00110F00" w:rsidRDefault="00DC6705" w:rsidP="00DC6705">
            <w:pPr>
              <w:pStyle w:val="FiBLtabelletext"/>
              <w:rPr>
                <w:lang w:val="en-GB"/>
              </w:rPr>
            </w:pPr>
            <w:r w:rsidRPr="00110F00">
              <w:rPr>
                <w:lang w:val="en-GB"/>
              </w:rPr>
              <w:t>3’250</w:t>
            </w:r>
          </w:p>
        </w:tc>
      </w:tr>
      <w:tr w:rsidR="00DC6705" w:rsidRPr="00110F00" w14:paraId="227C3103" w14:textId="77777777" w:rsidTr="00DC6705">
        <w:tc>
          <w:tcPr>
            <w:tcW w:w="1815" w:type="dxa"/>
          </w:tcPr>
          <w:p w14:paraId="2229E214" w14:textId="79F5A29B" w:rsidR="001730EE" w:rsidRPr="00110F00" w:rsidRDefault="00934CC9" w:rsidP="00DC6705">
            <w:pPr>
              <w:pStyle w:val="FiBLtabelletext"/>
              <w:rPr>
                <w:lang w:val="en-GB"/>
              </w:rPr>
            </w:pPr>
            <w:r w:rsidRPr="00110F00">
              <w:rPr>
                <w:lang w:val="en-GB"/>
              </w:rPr>
              <w:t>Poultry</w:t>
            </w:r>
          </w:p>
        </w:tc>
        <w:tc>
          <w:tcPr>
            <w:tcW w:w="1335" w:type="dxa"/>
          </w:tcPr>
          <w:p w14:paraId="3BD2DE46" w14:textId="1F0E2C67" w:rsidR="001730EE" w:rsidRPr="00110F00" w:rsidRDefault="00DC6705" w:rsidP="00DC6705">
            <w:pPr>
              <w:pStyle w:val="FiBLtabelletext"/>
              <w:rPr>
                <w:lang w:val="en-GB"/>
              </w:rPr>
            </w:pPr>
            <w:r w:rsidRPr="00110F00">
              <w:rPr>
                <w:lang w:val="en-GB"/>
              </w:rPr>
              <w:t>1'122’919</w:t>
            </w:r>
          </w:p>
        </w:tc>
        <w:tc>
          <w:tcPr>
            <w:tcW w:w="1385" w:type="dxa"/>
          </w:tcPr>
          <w:p w14:paraId="23A6086F" w14:textId="41CFB5D7" w:rsidR="001730EE" w:rsidRPr="00110F00" w:rsidRDefault="00DC6705" w:rsidP="00DC6705">
            <w:pPr>
              <w:pStyle w:val="FiBLtabelletext"/>
              <w:rPr>
                <w:lang w:val="en-GB"/>
              </w:rPr>
            </w:pPr>
            <w:r w:rsidRPr="00110F00">
              <w:rPr>
                <w:lang w:val="en-GB"/>
              </w:rPr>
              <w:t>577</w:t>
            </w:r>
          </w:p>
        </w:tc>
        <w:tc>
          <w:tcPr>
            <w:tcW w:w="1320" w:type="dxa"/>
          </w:tcPr>
          <w:p w14:paraId="339E5E78" w14:textId="04CDB77E" w:rsidR="001730EE" w:rsidRPr="00110F00" w:rsidRDefault="00DC6705" w:rsidP="00DC6705">
            <w:pPr>
              <w:pStyle w:val="FiBLtabelletext"/>
              <w:rPr>
                <w:lang w:val="en-GB"/>
              </w:rPr>
            </w:pPr>
            <w:r w:rsidRPr="00110F00">
              <w:rPr>
                <w:lang w:val="en-GB"/>
              </w:rPr>
              <w:t>249</w:t>
            </w:r>
          </w:p>
        </w:tc>
        <w:tc>
          <w:tcPr>
            <w:tcW w:w="1324" w:type="dxa"/>
          </w:tcPr>
          <w:p w14:paraId="5D9AFAC2" w14:textId="0E589D1F" w:rsidR="001730EE" w:rsidRPr="00110F00" w:rsidRDefault="00DC6705" w:rsidP="00DC6705">
            <w:pPr>
              <w:pStyle w:val="FiBLtabelletext"/>
              <w:rPr>
                <w:lang w:val="en-GB"/>
              </w:rPr>
            </w:pPr>
            <w:r w:rsidRPr="00110F00">
              <w:rPr>
                <w:lang w:val="en-GB"/>
              </w:rPr>
              <w:t>233</w:t>
            </w:r>
          </w:p>
        </w:tc>
        <w:tc>
          <w:tcPr>
            <w:tcW w:w="1309" w:type="dxa"/>
          </w:tcPr>
          <w:p w14:paraId="1D92C42A" w14:textId="44B7DE71" w:rsidR="001730EE" w:rsidRPr="00110F00" w:rsidRDefault="00DC6705" w:rsidP="00DC6705">
            <w:pPr>
              <w:pStyle w:val="FiBLtabelletext"/>
              <w:rPr>
                <w:lang w:val="en-GB"/>
              </w:rPr>
            </w:pPr>
            <w:r w:rsidRPr="00110F00">
              <w:rPr>
                <w:lang w:val="en-GB"/>
              </w:rPr>
              <w:t>1’059</w:t>
            </w:r>
          </w:p>
        </w:tc>
      </w:tr>
      <w:tr w:rsidR="00DC6705" w:rsidRPr="00110F00" w14:paraId="3D62B178" w14:textId="77777777" w:rsidTr="00DC6705">
        <w:tc>
          <w:tcPr>
            <w:tcW w:w="1815" w:type="dxa"/>
          </w:tcPr>
          <w:p w14:paraId="11710AF2" w14:textId="5F6C041A" w:rsidR="001730EE" w:rsidRPr="00110F00" w:rsidRDefault="00DC6705" w:rsidP="00DC6705">
            <w:pPr>
              <w:pStyle w:val="FiBLtabelletext"/>
              <w:rPr>
                <w:b/>
                <w:lang w:val="en-GB"/>
              </w:rPr>
            </w:pPr>
            <w:r w:rsidRPr="00110F00">
              <w:rPr>
                <w:b/>
                <w:lang w:val="en-GB"/>
              </w:rPr>
              <w:lastRenderedPageBreak/>
              <w:t>Total</w:t>
            </w:r>
            <w:r w:rsidR="00934CC9" w:rsidRPr="00110F00">
              <w:rPr>
                <w:b/>
                <w:lang w:val="en-GB"/>
              </w:rPr>
              <w:t>s</w:t>
            </w:r>
          </w:p>
        </w:tc>
        <w:tc>
          <w:tcPr>
            <w:tcW w:w="1335" w:type="dxa"/>
          </w:tcPr>
          <w:p w14:paraId="38BDAB00" w14:textId="77777777" w:rsidR="001730EE" w:rsidRPr="00110F00" w:rsidRDefault="001730EE" w:rsidP="00DC6705">
            <w:pPr>
              <w:pStyle w:val="FiBLtabelletext"/>
              <w:rPr>
                <w:lang w:val="en-GB"/>
              </w:rPr>
            </w:pPr>
          </w:p>
        </w:tc>
        <w:tc>
          <w:tcPr>
            <w:tcW w:w="1385" w:type="dxa"/>
          </w:tcPr>
          <w:p w14:paraId="5F55E49B" w14:textId="6302AE18" w:rsidR="001730EE" w:rsidRPr="00110F00" w:rsidRDefault="00DC6705" w:rsidP="00DC6705">
            <w:pPr>
              <w:pStyle w:val="FiBLtabelletext"/>
              <w:rPr>
                <w:lang w:val="en-GB"/>
              </w:rPr>
            </w:pPr>
            <w:r w:rsidRPr="00110F00">
              <w:rPr>
                <w:lang w:val="en-GB"/>
              </w:rPr>
              <w:t>505’201</w:t>
            </w:r>
          </w:p>
        </w:tc>
        <w:tc>
          <w:tcPr>
            <w:tcW w:w="1320" w:type="dxa"/>
          </w:tcPr>
          <w:p w14:paraId="7D3004B1" w14:textId="4B93CADB" w:rsidR="001730EE" w:rsidRPr="00110F00" w:rsidRDefault="00DC6705" w:rsidP="00DC6705">
            <w:pPr>
              <w:pStyle w:val="FiBLtabelletext"/>
              <w:rPr>
                <w:lang w:val="en-GB"/>
              </w:rPr>
            </w:pPr>
            <w:r w:rsidRPr="00110F00">
              <w:rPr>
                <w:lang w:val="en-GB"/>
              </w:rPr>
              <w:t>94’936</w:t>
            </w:r>
          </w:p>
        </w:tc>
        <w:tc>
          <w:tcPr>
            <w:tcW w:w="1324" w:type="dxa"/>
          </w:tcPr>
          <w:p w14:paraId="3630FA34" w14:textId="169D0559" w:rsidR="001730EE" w:rsidRPr="00110F00" w:rsidRDefault="00DC6705" w:rsidP="00DC6705">
            <w:pPr>
              <w:pStyle w:val="FiBLtabelletext"/>
              <w:rPr>
                <w:lang w:val="en-GB"/>
              </w:rPr>
            </w:pPr>
            <w:r w:rsidRPr="00110F00">
              <w:rPr>
                <w:lang w:val="en-GB"/>
              </w:rPr>
              <w:t>51’515</w:t>
            </w:r>
          </w:p>
        </w:tc>
        <w:tc>
          <w:tcPr>
            <w:tcW w:w="1309" w:type="dxa"/>
          </w:tcPr>
          <w:p w14:paraId="0FFB7921" w14:textId="7D189831" w:rsidR="001730EE" w:rsidRPr="00110F00" w:rsidRDefault="00DC6705" w:rsidP="00DC6705">
            <w:pPr>
              <w:pStyle w:val="FiBLtabelletext"/>
              <w:rPr>
                <w:b/>
                <w:lang w:val="en-GB"/>
              </w:rPr>
            </w:pPr>
            <w:r w:rsidRPr="00110F00">
              <w:rPr>
                <w:b/>
                <w:lang w:val="en-GB"/>
              </w:rPr>
              <w:t>649’652</w:t>
            </w:r>
          </w:p>
        </w:tc>
      </w:tr>
    </w:tbl>
    <w:p w14:paraId="262B5413" w14:textId="0FC16E6B" w:rsidR="001730EE" w:rsidRPr="00110F00" w:rsidRDefault="001730EE" w:rsidP="001730EE">
      <w:pPr>
        <w:pStyle w:val="FiBLstandard"/>
        <w:rPr>
          <w:lang w:val="en-GB"/>
        </w:rPr>
      </w:pPr>
    </w:p>
    <w:p w14:paraId="696F6B4D" w14:textId="602F6986" w:rsidR="00934CC9" w:rsidRPr="00110F00" w:rsidRDefault="00934CC9" w:rsidP="00DC6705">
      <w:pPr>
        <w:pStyle w:val="FiBLstandard"/>
        <w:rPr>
          <w:lang w:val="en-GB"/>
        </w:rPr>
      </w:pPr>
      <w:r w:rsidRPr="00110F00">
        <w:rPr>
          <w:b/>
          <w:lang w:val="en-GB"/>
        </w:rPr>
        <w:t>Digestive processes in ruminants</w:t>
      </w:r>
      <w:r w:rsidRPr="00110F00">
        <w:rPr>
          <w:b/>
          <w:color w:val="5B9BD5" w:themeColor="accent1"/>
          <w:lang w:val="en-GB"/>
        </w:rPr>
        <w:t xml:space="preserve">: </w:t>
      </w:r>
      <w:r w:rsidRPr="00110F00">
        <w:rPr>
          <w:lang w:val="en-GB"/>
        </w:rPr>
        <w:t>CH</w:t>
      </w:r>
      <w:r w:rsidRPr="00110F00">
        <w:rPr>
          <w:vertAlign w:val="subscript"/>
          <w:lang w:val="en-GB"/>
        </w:rPr>
        <w:t>4</w:t>
      </w:r>
      <w:r w:rsidRPr="00110F00">
        <w:rPr>
          <w:lang w:val="en-GB"/>
        </w:rPr>
        <w:t xml:space="preserve"> produced in the digestive tract of cattle accounts for the largest share of GHG emissions from the livestock sector (approx. 0.47 million t CO</w:t>
      </w:r>
      <w:r w:rsidRPr="00110F00">
        <w:rPr>
          <w:vertAlign w:val="subscript"/>
          <w:lang w:val="en-GB"/>
        </w:rPr>
        <w:t>2</w:t>
      </w:r>
      <w:r w:rsidRPr="00110F00">
        <w:rPr>
          <w:lang w:val="en-GB"/>
        </w:rPr>
        <w:t>-eq.).</w:t>
      </w:r>
    </w:p>
    <w:p w14:paraId="289ABE03" w14:textId="3BC34D48" w:rsidR="00934CC9" w:rsidRPr="00110F00" w:rsidRDefault="00934CC9" w:rsidP="00DC6705">
      <w:pPr>
        <w:pStyle w:val="FiBLstandard"/>
        <w:rPr>
          <w:lang w:val="en-GB"/>
        </w:rPr>
      </w:pPr>
      <w:r w:rsidRPr="00110F00">
        <w:rPr>
          <w:lang w:val="en-GB"/>
        </w:rPr>
        <w:t xml:space="preserve">Under experimental conditions, </w:t>
      </w:r>
      <w:r w:rsidRPr="00110F00">
        <w:rPr>
          <w:i/>
          <w:lang w:val="en-GB"/>
        </w:rPr>
        <w:t>feeding measures</w:t>
      </w:r>
      <w:r w:rsidRPr="00110F00">
        <w:rPr>
          <w:lang w:val="en-GB"/>
        </w:rPr>
        <w:t xml:space="preserve"> can achieve GHG emissions reductions in the order of 5 to 10%. However, most of the feeding measures that could be implemented in organic farming are associated with significant effort, land requirements for the production of feedstuffs, and considerable cost. This can </w:t>
      </w:r>
      <w:r w:rsidR="00110F00" w:rsidRPr="00110F00">
        <w:rPr>
          <w:lang w:val="en-GB"/>
        </w:rPr>
        <w:t xml:space="preserve">compromise </w:t>
      </w:r>
      <w:r w:rsidRPr="00110F00">
        <w:rPr>
          <w:lang w:val="en-GB"/>
        </w:rPr>
        <w:t xml:space="preserve">the cost-benefit ratio of such measures. The integration of pasture plants containing secondary ingredients (tannins, possibly essential oils) has a low reduction potential, but is easy to implement and </w:t>
      </w:r>
      <w:r w:rsidR="00110F00" w:rsidRPr="00110F00">
        <w:rPr>
          <w:lang w:val="en-GB"/>
        </w:rPr>
        <w:t xml:space="preserve">delivers </w:t>
      </w:r>
      <w:r w:rsidR="00162A80" w:rsidRPr="00110F00">
        <w:rPr>
          <w:lang w:val="en-GB"/>
        </w:rPr>
        <w:t>additional</w:t>
      </w:r>
      <w:r w:rsidRPr="00110F00">
        <w:rPr>
          <w:lang w:val="en-GB"/>
        </w:rPr>
        <w:t xml:space="preserve"> benefits (biodiversity, animal welfare and health, and milk quality).</w:t>
      </w:r>
    </w:p>
    <w:p w14:paraId="1A7F8130" w14:textId="4ADF4397" w:rsidR="00162A80" w:rsidRPr="00110F00" w:rsidRDefault="00162A80" w:rsidP="00DC6705">
      <w:pPr>
        <w:pStyle w:val="FiBLstandard"/>
        <w:rPr>
          <w:lang w:val="en-GB"/>
        </w:rPr>
      </w:pPr>
      <w:r w:rsidRPr="00110F00">
        <w:rPr>
          <w:lang w:val="en-GB"/>
        </w:rPr>
        <w:t xml:space="preserve">Specific </w:t>
      </w:r>
      <w:r w:rsidRPr="00110F00">
        <w:rPr>
          <w:i/>
          <w:lang w:val="en-GB"/>
        </w:rPr>
        <w:t>measures to reduce emissions at herd level</w:t>
      </w:r>
      <w:r w:rsidRPr="00110F00">
        <w:rPr>
          <w:lang w:val="en-GB"/>
        </w:rPr>
        <w:t xml:space="preserve"> include, for example, a coupling of milk and meat producti</w:t>
      </w:r>
      <w:r w:rsidR="00546BC4" w:rsidRPr="00110F00">
        <w:rPr>
          <w:lang w:val="en-GB"/>
        </w:rPr>
        <w:t>on, an extension of the animals’</w:t>
      </w:r>
      <w:r w:rsidRPr="00110F00">
        <w:rPr>
          <w:lang w:val="en-GB"/>
        </w:rPr>
        <w:t xml:space="preserve"> useful life or a shortening of their unproductive life phases. Here, too, the reduction potential is around 10% of these emissions.</w:t>
      </w:r>
    </w:p>
    <w:p w14:paraId="539412B2" w14:textId="155D1768" w:rsidR="00162A80" w:rsidRPr="00110F00" w:rsidRDefault="00162A80" w:rsidP="00DC6705">
      <w:pPr>
        <w:pStyle w:val="FiBLstandard"/>
        <w:rPr>
          <w:lang w:val="en-GB"/>
        </w:rPr>
      </w:pPr>
      <w:r w:rsidRPr="00110F00">
        <w:rPr>
          <w:b/>
          <w:lang w:val="en-GB"/>
        </w:rPr>
        <w:t xml:space="preserve">Dung/manure: </w:t>
      </w:r>
      <w:r w:rsidRPr="00110F00">
        <w:rPr>
          <w:lang w:val="en-GB"/>
        </w:rPr>
        <w:t>Apart from enteric CH</w:t>
      </w:r>
      <w:r w:rsidRPr="00110F00">
        <w:rPr>
          <w:vertAlign w:val="subscript"/>
          <w:lang w:val="en-GB"/>
        </w:rPr>
        <w:t>4</w:t>
      </w:r>
      <w:r w:rsidRPr="00110F00">
        <w:rPr>
          <w:lang w:val="en-GB"/>
        </w:rPr>
        <w:t xml:space="preserve"> generation, CH</w:t>
      </w:r>
      <w:r w:rsidRPr="00110F00">
        <w:rPr>
          <w:vertAlign w:val="subscript"/>
          <w:lang w:val="en-GB"/>
        </w:rPr>
        <w:t>4</w:t>
      </w:r>
      <w:r w:rsidRPr="00110F00">
        <w:rPr>
          <w:lang w:val="en-GB"/>
        </w:rPr>
        <w:t xml:space="preserve"> and N</w:t>
      </w:r>
      <w:r w:rsidRPr="00110F00">
        <w:rPr>
          <w:vertAlign w:val="subscript"/>
          <w:lang w:val="en-GB"/>
        </w:rPr>
        <w:t>2</w:t>
      </w:r>
      <w:r w:rsidRPr="00110F00">
        <w:rPr>
          <w:lang w:val="en-GB"/>
        </w:rPr>
        <w:t xml:space="preserve">O emissions from </w:t>
      </w:r>
      <w:r w:rsidR="00546BC4" w:rsidRPr="00110F00">
        <w:rPr>
          <w:lang w:val="en-GB"/>
        </w:rPr>
        <w:t>livestock</w:t>
      </w:r>
      <w:r w:rsidRPr="00110F00">
        <w:rPr>
          <w:lang w:val="en-GB"/>
        </w:rPr>
        <w:t xml:space="preserve"> manure are the second largest GHG source from livestock in Swiss organic agriculture (0.09 and 0.04 million t CO</w:t>
      </w:r>
      <w:r w:rsidRPr="00110F00">
        <w:rPr>
          <w:vertAlign w:val="subscript"/>
          <w:lang w:val="en-GB"/>
        </w:rPr>
        <w:t>2</w:t>
      </w:r>
      <w:r w:rsidRPr="00110F00">
        <w:rPr>
          <w:lang w:val="en-GB"/>
        </w:rPr>
        <w:t xml:space="preserve"> eq., respectively). The following can contribute to </w:t>
      </w:r>
      <w:r w:rsidR="00546BC4" w:rsidRPr="00110F00">
        <w:rPr>
          <w:lang w:val="en-GB"/>
        </w:rPr>
        <w:t xml:space="preserve">reducing </w:t>
      </w:r>
      <w:r w:rsidRPr="00110F00">
        <w:rPr>
          <w:lang w:val="en-GB"/>
        </w:rPr>
        <w:t>these emissions:</w:t>
      </w:r>
    </w:p>
    <w:p w14:paraId="207DFF91" w14:textId="6506E749" w:rsidR="00DC6705" w:rsidRPr="00110F00" w:rsidRDefault="00DC6705" w:rsidP="00DC6705">
      <w:pPr>
        <w:pStyle w:val="FiBLstandard"/>
        <w:rPr>
          <w:lang w:val="en-GB"/>
        </w:rPr>
        <w:sectPr w:rsidR="00DC6705" w:rsidRPr="00110F00" w:rsidSect="005A4956">
          <w:headerReference w:type="default" r:id="rId14"/>
          <w:footerReference w:type="default" r:id="rId15"/>
          <w:type w:val="continuous"/>
          <w:pgSz w:w="11906" w:h="16838" w:code="9"/>
          <w:pgMar w:top="1701" w:right="1701" w:bottom="2075" w:left="1701" w:header="1134" w:footer="1134" w:gutter="0"/>
          <w:pgNumType w:start="1"/>
          <w:cols w:space="708"/>
          <w:docGrid w:linePitch="360"/>
        </w:sectPr>
      </w:pPr>
    </w:p>
    <w:p w14:paraId="7ABFB137" w14:textId="34891B5E" w:rsidR="00DC6705" w:rsidRPr="00110F00" w:rsidRDefault="00162A80" w:rsidP="00162A80">
      <w:pPr>
        <w:pStyle w:val="FiBLaufzhlungszeichen"/>
        <w:rPr>
          <w:lang w:val="en-GB"/>
        </w:rPr>
      </w:pPr>
      <w:r w:rsidRPr="00110F00">
        <w:rPr>
          <w:lang w:val="en-GB"/>
        </w:rPr>
        <w:t>Low-nitrogen feeding</w:t>
      </w:r>
    </w:p>
    <w:p w14:paraId="26FE7B73" w14:textId="4B50E16F" w:rsidR="00DC6705" w:rsidRPr="00110F00" w:rsidRDefault="00162A80" w:rsidP="00162A80">
      <w:pPr>
        <w:pStyle w:val="FiBLaufzhlungszeichen"/>
        <w:rPr>
          <w:lang w:val="en-GB"/>
        </w:rPr>
      </w:pPr>
      <w:r w:rsidRPr="00110F00">
        <w:rPr>
          <w:lang w:val="en-GB"/>
        </w:rPr>
        <w:t>Short storage time</w:t>
      </w:r>
    </w:p>
    <w:p w14:paraId="0BD2B6FC" w14:textId="7BA7EED3" w:rsidR="00DC6705" w:rsidRPr="00110F00" w:rsidRDefault="00162A80" w:rsidP="00DC6705">
      <w:pPr>
        <w:pStyle w:val="FiBLaufzhlungszeichen"/>
        <w:rPr>
          <w:lang w:val="en-GB"/>
        </w:rPr>
      </w:pPr>
      <w:r w:rsidRPr="00110F00">
        <w:rPr>
          <w:lang w:val="en-GB"/>
        </w:rPr>
        <w:t>Slurry covers</w:t>
      </w:r>
      <w:r w:rsidR="00DC6705" w:rsidRPr="00110F00">
        <w:rPr>
          <w:lang w:val="en-GB"/>
        </w:rPr>
        <w:t>/</w:t>
      </w:r>
      <w:r w:rsidRPr="00110F00">
        <w:rPr>
          <w:lang w:val="en-GB"/>
        </w:rPr>
        <w:t>methane digesters</w:t>
      </w:r>
    </w:p>
    <w:p w14:paraId="5C88951B" w14:textId="77777777" w:rsidR="00162A80" w:rsidRPr="00110F00" w:rsidRDefault="00162A80" w:rsidP="00162A80">
      <w:pPr>
        <w:pStyle w:val="FiBLaufzhlungszeichen"/>
        <w:rPr>
          <w:lang w:val="en-GB"/>
        </w:rPr>
      </w:pPr>
      <w:r w:rsidRPr="00110F00">
        <w:rPr>
          <w:lang w:val="en-GB"/>
        </w:rPr>
        <w:t>Acidification of slurry</w:t>
      </w:r>
    </w:p>
    <w:p w14:paraId="5E605C96" w14:textId="705B51B4" w:rsidR="00DC6705" w:rsidRPr="00110F00" w:rsidRDefault="00162A80" w:rsidP="00162A80">
      <w:pPr>
        <w:pStyle w:val="FiBLaufzhlungszeichen"/>
        <w:rPr>
          <w:lang w:val="en-GB"/>
        </w:rPr>
        <w:sectPr w:rsidR="00DC6705" w:rsidRPr="00110F00" w:rsidSect="00DC6705">
          <w:type w:val="continuous"/>
          <w:pgSz w:w="11906" w:h="16838" w:code="9"/>
          <w:pgMar w:top="1701" w:right="1701" w:bottom="2075" w:left="1701" w:header="1134" w:footer="1134" w:gutter="0"/>
          <w:pgNumType w:start="1"/>
          <w:cols w:num="2" w:space="708"/>
          <w:docGrid w:linePitch="360"/>
        </w:sectPr>
      </w:pPr>
      <w:r w:rsidRPr="00110F00">
        <w:rPr>
          <w:lang w:val="en-GB"/>
        </w:rPr>
        <w:t>Cool storage of manure/slurry</w:t>
      </w:r>
    </w:p>
    <w:p w14:paraId="7D80CDCC" w14:textId="3969EFE6" w:rsidR="00162A80" w:rsidRPr="00110F00" w:rsidRDefault="00162A80" w:rsidP="00DC6705">
      <w:pPr>
        <w:pStyle w:val="FiBLstandard"/>
        <w:rPr>
          <w:lang w:val="en-GB"/>
        </w:rPr>
      </w:pPr>
      <w:r w:rsidRPr="00110F00">
        <w:rPr>
          <w:lang w:val="en-GB"/>
        </w:rPr>
        <w:t>As the chemical processes underlying GHG emissions are very complex, only approximate estimates can be given for the reduction potential of individual measures. The total potential is estimated at around 15% of these emissions.</w:t>
      </w:r>
    </w:p>
    <w:p w14:paraId="70B2A642" w14:textId="4E78A311" w:rsidR="002921FD" w:rsidRPr="00110F00" w:rsidRDefault="00162A80" w:rsidP="00162A80">
      <w:pPr>
        <w:pStyle w:val="FiBLberschrift2"/>
        <w:rPr>
          <w:lang w:val="en-GB"/>
        </w:rPr>
      </w:pPr>
      <w:r w:rsidRPr="00110F00">
        <w:rPr>
          <w:lang w:val="en-GB"/>
        </w:rPr>
        <w:t xml:space="preserve">GHG </w:t>
      </w:r>
      <w:r w:rsidR="00BF7028" w:rsidRPr="00110F00">
        <w:rPr>
          <w:lang w:val="en-GB"/>
        </w:rPr>
        <w:t xml:space="preserve">emission </w:t>
      </w:r>
      <w:r w:rsidRPr="00110F00">
        <w:rPr>
          <w:lang w:val="en-GB"/>
        </w:rPr>
        <w:t>reductions in crop production</w:t>
      </w:r>
    </w:p>
    <w:p w14:paraId="7135B248" w14:textId="646BACEE" w:rsidR="00A9347A" w:rsidRPr="00110F00" w:rsidRDefault="00A9347A" w:rsidP="002921FD">
      <w:pPr>
        <w:pStyle w:val="FiBLstandard"/>
        <w:rPr>
          <w:lang w:val="en-GB"/>
        </w:rPr>
      </w:pPr>
      <w:r w:rsidRPr="00110F00">
        <w:rPr>
          <w:lang w:val="en-GB"/>
        </w:rPr>
        <w:t>In the soil, the greenhouse gases CO</w:t>
      </w:r>
      <w:r w:rsidRPr="00110F00">
        <w:rPr>
          <w:vertAlign w:val="subscript"/>
          <w:lang w:val="en-GB"/>
        </w:rPr>
        <w:t>2</w:t>
      </w:r>
      <w:r w:rsidRPr="00110F00">
        <w:rPr>
          <w:lang w:val="en-GB"/>
        </w:rPr>
        <w:t>, N</w:t>
      </w:r>
      <w:r w:rsidRPr="00110F00">
        <w:rPr>
          <w:vertAlign w:val="subscript"/>
          <w:lang w:val="en-GB"/>
        </w:rPr>
        <w:t>2</w:t>
      </w:r>
      <w:r w:rsidRPr="00110F00">
        <w:rPr>
          <w:lang w:val="en-GB"/>
        </w:rPr>
        <w:t>O and CH</w:t>
      </w:r>
      <w:r w:rsidRPr="00110F00">
        <w:rPr>
          <w:vertAlign w:val="subscript"/>
          <w:lang w:val="en-GB"/>
        </w:rPr>
        <w:t>4</w:t>
      </w:r>
      <w:r w:rsidRPr="00110F00">
        <w:rPr>
          <w:lang w:val="en-GB"/>
        </w:rPr>
        <w:t xml:space="preserve"> are generated by metabolic activities of soil microorganisms. In aerated soils CH</w:t>
      </w:r>
      <w:r w:rsidRPr="00110F00">
        <w:rPr>
          <w:vertAlign w:val="subscript"/>
          <w:lang w:val="en-GB"/>
        </w:rPr>
        <w:t>4</w:t>
      </w:r>
      <w:r w:rsidRPr="00110F00">
        <w:rPr>
          <w:lang w:val="en-GB"/>
        </w:rPr>
        <w:t xml:space="preserve"> is mineralised; it is emitted only in waterlogged situations and is quantitatively less relevant.</w:t>
      </w:r>
    </w:p>
    <w:p w14:paraId="23679958" w14:textId="64B303FD" w:rsidR="00A9347A" w:rsidRPr="00110F00" w:rsidRDefault="00A9347A" w:rsidP="002921FD">
      <w:pPr>
        <w:pStyle w:val="FiBLstandard"/>
        <w:rPr>
          <w:lang w:val="en-GB"/>
        </w:rPr>
      </w:pPr>
      <w:r w:rsidRPr="00110F00">
        <w:rPr>
          <w:lang w:val="en-GB"/>
        </w:rPr>
        <w:t>Of greater significance are the N</w:t>
      </w:r>
      <w:r w:rsidRPr="00110F00">
        <w:rPr>
          <w:vertAlign w:val="subscript"/>
          <w:lang w:val="en-GB"/>
        </w:rPr>
        <w:t>2</w:t>
      </w:r>
      <w:r w:rsidRPr="00110F00">
        <w:rPr>
          <w:lang w:val="en-GB"/>
        </w:rPr>
        <w:t>O emissions: Organic farming is responsible for approximately 12% of Switzerland's agricultural N</w:t>
      </w:r>
      <w:r w:rsidRPr="00110F00">
        <w:rPr>
          <w:vertAlign w:val="subscript"/>
          <w:lang w:val="en-GB"/>
        </w:rPr>
        <w:t>2</w:t>
      </w:r>
      <w:r w:rsidRPr="00110F00">
        <w:rPr>
          <w:lang w:val="en-GB"/>
        </w:rPr>
        <w:t>O emissions. The greatest reduction potential can be found in vegetable production and permanent grassland. This is due to the comparatively high amounts of nitrogen applied in organic farming. Overall, measures in crop production offer a reduction potential of between 10 and 15% of the corresponding GHG emissions.</w:t>
      </w:r>
    </w:p>
    <w:p w14:paraId="58D4E5E0" w14:textId="51B6D9B1" w:rsidR="00A9347A" w:rsidRPr="00110F00" w:rsidRDefault="00A9347A" w:rsidP="002921FD">
      <w:pPr>
        <w:pStyle w:val="FiBLstandard"/>
        <w:rPr>
          <w:bCs/>
          <w:lang w:val="en-GB"/>
        </w:rPr>
      </w:pPr>
      <w:r w:rsidRPr="00110F00">
        <w:rPr>
          <w:b/>
          <w:bCs/>
          <w:lang w:val="en-GB"/>
        </w:rPr>
        <w:lastRenderedPageBreak/>
        <w:t xml:space="preserve">Reactive nitrogen: </w:t>
      </w:r>
      <w:r w:rsidR="00546BC4" w:rsidRPr="00110F00">
        <w:rPr>
          <w:bCs/>
          <w:lang w:val="en-GB"/>
        </w:rPr>
        <w:t>R</w:t>
      </w:r>
      <w:r w:rsidRPr="00110F00">
        <w:rPr>
          <w:bCs/>
          <w:lang w:val="en-GB"/>
        </w:rPr>
        <w:t>eduction</w:t>
      </w:r>
      <w:r w:rsidR="00546BC4" w:rsidRPr="00110F00">
        <w:rPr>
          <w:bCs/>
          <w:lang w:val="en-GB"/>
        </w:rPr>
        <w:t>s</w:t>
      </w:r>
      <w:r w:rsidRPr="00110F00">
        <w:rPr>
          <w:bCs/>
          <w:lang w:val="en-GB"/>
        </w:rPr>
        <w:t xml:space="preserve"> </w:t>
      </w:r>
      <w:r w:rsidR="00546BC4" w:rsidRPr="00110F00">
        <w:rPr>
          <w:bCs/>
          <w:lang w:val="en-GB"/>
        </w:rPr>
        <w:t>in</w:t>
      </w:r>
      <w:r w:rsidRPr="00110F00">
        <w:rPr>
          <w:bCs/>
          <w:lang w:val="en-GB"/>
        </w:rPr>
        <w:t xml:space="preserve"> the amount of reactive nitrogen in the soil-plant system in general and improved synchronisation of N supply and N demand contribute to </w:t>
      </w:r>
      <w:r w:rsidR="00717769" w:rsidRPr="00110F00">
        <w:rPr>
          <w:bCs/>
          <w:lang w:val="en-GB"/>
        </w:rPr>
        <w:t>reducing</w:t>
      </w:r>
      <w:r w:rsidRPr="00110F00">
        <w:rPr>
          <w:bCs/>
          <w:lang w:val="en-GB"/>
        </w:rPr>
        <w:t xml:space="preserve"> N</w:t>
      </w:r>
      <w:r w:rsidRPr="00110F00">
        <w:rPr>
          <w:bCs/>
          <w:vertAlign w:val="subscript"/>
          <w:lang w:val="en-GB"/>
        </w:rPr>
        <w:t>2</w:t>
      </w:r>
      <w:r w:rsidRPr="00110F00">
        <w:rPr>
          <w:bCs/>
          <w:lang w:val="en-GB"/>
        </w:rPr>
        <w:t xml:space="preserve">O emissions. This is </w:t>
      </w:r>
      <w:r w:rsidR="00717769" w:rsidRPr="00110F00">
        <w:rPr>
          <w:bCs/>
          <w:lang w:val="en-GB"/>
        </w:rPr>
        <w:t>helped</w:t>
      </w:r>
      <w:r w:rsidRPr="00110F00">
        <w:rPr>
          <w:bCs/>
          <w:lang w:val="en-GB"/>
        </w:rPr>
        <w:t xml:space="preserve"> by the following measures:</w:t>
      </w:r>
    </w:p>
    <w:p w14:paraId="3B4C2489" w14:textId="036B0D89" w:rsidR="00717769" w:rsidRPr="00110F00" w:rsidRDefault="00717769" w:rsidP="00717769">
      <w:pPr>
        <w:pStyle w:val="FiBLaufzhlungszeichen"/>
        <w:rPr>
          <w:lang w:val="en-GB"/>
        </w:rPr>
      </w:pPr>
      <w:r w:rsidRPr="00110F00">
        <w:rPr>
          <w:lang w:val="en-GB"/>
        </w:rPr>
        <w:t>Split slurry applications, and appl</w:t>
      </w:r>
      <w:r w:rsidR="00110F00" w:rsidRPr="00110F00">
        <w:rPr>
          <w:lang w:val="en-GB"/>
        </w:rPr>
        <w:t xml:space="preserve">ying </w:t>
      </w:r>
      <w:r w:rsidRPr="00110F00">
        <w:rPr>
          <w:lang w:val="en-GB"/>
        </w:rPr>
        <w:t xml:space="preserve">only to crops that are actively </w:t>
      </w:r>
      <w:proofErr w:type="spellStart"/>
      <w:r w:rsidRPr="00110F00">
        <w:rPr>
          <w:lang w:val="en-GB"/>
        </w:rPr>
        <w:t>uptaking</w:t>
      </w:r>
      <w:proofErr w:type="spellEnd"/>
      <w:r w:rsidRPr="00110F00">
        <w:rPr>
          <w:lang w:val="en-GB"/>
        </w:rPr>
        <w:t xml:space="preserve"> nitrogen</w:t>
      </w:r>
    </w:p>
    <w:p w14:paraId="4E19DECF" w14:textId="329FE584" w:rsidR="002921FD" w:rsidRPr="00110F00" w:rsidRDefault="00717769" w:rsidP="002921FD">
      <w:pPr>
        <w:pStyle w:val="FiBLaufzhlungszeichen"/>
        <w:rPr>
          <w:lang w:val="en-GB"/>
        </w:rPr>
      </w:pPr>
      <w:r w:rsidRPr="00110F00">
        <w:rPr>
          <w:lang w:val="en-GB"/>
        </w:rPr>
        <w:t>Us</w:t>
      </w:r>
      <w:r w:rsidR="00110F00" w:rsidRPr="00110F00">
        <w:rPr>
          <w:lang w:val="en-GB"/>
        </w:rPr>
        <w:t>ing</w:t>
      </w:r>
      <w:r w:rsidRPr="00110F00">
        <w:rPr>
          <w:lang w:val="en-GB"/>
        </w:rPr>
        <w:t xml:space="preserve"> drag-hose systems</w:t>
      </w:r>
    </w:p>
    <w:p w14:paraId="4B9BAB28" w14:textId="36F6E7D6" w:rsidR="00717769" w:rsidRPr="00110F00" w:rsidRDefault="00717769" w:rsidP="00717769">
      <w:pPr>
        <w:pStyle w:val="FiBLaufzhlungszeichen"/>
        <w:rPr>
          <w:lang w:val="en-GB"/>
        </w:rPr>
      </w:pPr>
      <w:r w:rsidRPr="00110F00">
        <w:rPr>
          <w:lang w:val="en-GB"/>
        </w:rPr>
        <w:t>Growing legumes in mixtures with non-legumes</w:t>
      </w:r>
    </w:p>
    <w:p w14:paraId="0A7020C2" w14:textId="37213455" w:rsidR="002921FD" w:rsidRPr="00110F00" w:rsidRDefault="00717769" w:rsidP="00717769">
      <w:pPr>
        <w:pStyle w:val="FiBLaufzhlungszeichen"/>
        <w:rPr>
          <w:lang w:val="en-GB"/>
        </w:rPr>
      </w:pPr>
      <w:r w:rsidRPr="00110F00">
        <w:rPr>
          <w:lang w:val="en-GB"/>
        </w:rPr>
        <w:t>Avo</w:t>
      </w:r>
      <w:r w:rsidR="000925B1" w:rsidRPr="00110F00">
        <w:rPr>
          <w:lang w:val="en-GB"/>
        </w:rPr>
        <w:t>i</w:t>
      </w:r>
      <w:r w:rsidRPr="00110F00">
        <w:rPr>
          <w:lang w:val="en-GB"/>
        </w:rPr>
        <w:t xml:space="preserve">ding green manure crops that are winter-killed </w:t>
      </w:r>
    </w:p>
    <w:p w14:paraId="134D4B07" w14:textId="6B11A3C6" w:rsidR="00717769" w:rsidRPr="00110F00" w:rsidRDefault="00717769" w:rsidP="00717769">
      <w:pPr>
        <w:pStyle w:val="FiBLaufzhlungszeichen"/>
        <w:rPr>
          <w:lang w:val="en-GB"/>
        </w:rPr>
      </w:pPr>
      <w:r w:rsidRPr="00110F00">
        <w:rPr>
          <w:lang w:val="en-GB"/>
        </w:rPr>
        <w:t>Removing crop residues with a narrow C/N ratio</w:t>
      </w:r>
    </w:p>
    <w:p w14:paraId="048A673C" w14:textId="3B54D917" w:rsidR="002921FD" w:rsidRPr="00110F00" w:rsidRDefault="005A1093" w:rsidP="002921FD">
      <w:pPr>
        <w:pStyle w:val="FiBLaufzhlungszeichen"/>
        <w:rPr>
          <w:lang w:val="en-GB"/>
        </w:rPr>
      </w:pPr>
      <w:r w:rsidRPr="00110F00">
        <w:rPr>
          <w:lang w:val="en-GB"/>
        </w:rPr>
        <w:t>Not working wet soils.</w:t>
      </w:r>
    </w:p>
    <w:p w14:paraId="41DD023C" w14:textId="68530345" w:rsidR="005A1093" w:rsidRPr="00110F00" w:rsidRDefault="005A1093" w:rsidP="002921FD">
      <w:pPr>
        <w:pStyle w:val="FiBLstandard"/>
        <w:rPr>
          <w:lang w:val="en-GB"/>
        </w:rPr>
      </w:pPr>
      <w:r w:rsidRPr="00110F00">
        <w:rPr>
          <w:lang w:val="en-GB"/>
        </w:rPr>
        <w:t>Compaction: Soil compaction promotes the formation of N</w:t>
      </w:r>
      <w:r w:rsidRPr="00110F00">
        <w:rPr>
          <w:vertAlign w:val="subscript"/>
          <w:lang w:val="en-GB"/>
        </w:rPr>
        <w:t>2</w:t>
      </w:r>
      <w:r w:rsidRPr="00110F00">
        <w:rPr>
          <w:lang w:val="en-GB"/>
        </w:rPr>
        <w:t>O and CH</w:t>
      </w:r>
      <w:r w:rsidRPr="00110F00">
        <w:rPr>
          <w:vertAlign w:val="subscript"/>
          <w:lang w:val="en-GB"/>
        </w:rPr>
        <w:t>4</w:t>
      </w:r>
      <w:r w:rsidRPr="00110F00">
        <w:rPr>
          <w:lang w:val="en-GB"/>
        </w:rPr>
        <w:t>. Wet soils should not be tilled and market development towards lighter machinery should be supported.</w:t>
      </w:r>
    </w:p>
    <w:p w14:paraId="3F429A24" w14:textId="5AA7115D" w:rsidR="002921FD" w:rsidRPr="00110F00" w:rsidRDefault="005A1093" w:rsidP="005A1093">
      <w:pPr>
        <w:pStyle w:val="FiBLberschrift2"/>
        <w:rPr>
          <w:lang w:val="en-GB"/>
        </w:rPr>
      </w:pPr>
      <w:r w:rsidRPr="00110F00">
        <w:rPr>
          <w:lang w:val="en-GB"/>
        </w:rPr>
        <w:t>GHG reductions by means of reduced energy consumption</w:t>
      </w:r>
    </w:p>
    <w:p w14:paraId="6792C999" w14:textId="2D9DC467" w:rsidR="005A1093" w:rsidRPr="00110F00" w:rsidRDefault="005A1093" w:rsidP="002921FD">
      <w:pPr>
        <w:pStyle w:val="FiBLstandard"/>
        <w:rPr>
          <w:lang w:val="en-GB"/>
        </w:rPr>
      </w:pPr>
      <w:r w:rsidRPr="00110F00">
        <w:rPr>
          <w:lang w:val="en-GB"/>
        </w:rPr>
        <w:t>Energy consumption and the associated emissions can be lowered by switching to the most renewable energy sources possible, reducing energy-intensive means of production and focusing on best practice in terms of energy efficiency in applications, building conversions and new acquisitions. The additional leverage provided by measures of this nature is not very significant and is estimated to be in the lower single-digit percentage range.</w:t>
      </w:r>
    </w:p>
    <w:p w14:paraId="7A2C5DB7" w14:textId="68250170" w:rsidR="002921FD" w:rsidRPr="00110F00" w:rsidRDefault="005A1093" w:rsidP="005A1093">
      <w:pPr>
        <w:pStyle w:val="FiBLberschrift1"/>
        <w:rPr>
          <w:lang w:val="en-GB"/>
        </w:rPr>
      </w:pPr>
      <w:r w:rsidRPr="00110F00">
        <w:rPr>
          <w:lang w:val="en-GB"/>
        </w:rPr>
        <w:t xml:space="preserve">Compensation by means of </w:t>
      </w:r>
      <w:r w:rsidR="00963628" w:rsidRPr="00110F00">
        <w:rPr>
          <w:lang w:val="en-GB"/>
        </w:rPr>
        <w:t>carbon</w:t>
      </w:r>
      <w:r w:rsidRPr="00110F00">
        <w:rPr>
          <w:lang w:val="en-GB"/>
        </w:rPr>
        <w:t xml:space="preserve"> sequestration</w:t>
      </w:r>
    </w:p>
    <w:p w14:paraId="5B3FE94E" w14:textId="52477854" w:rsidR="005A1093" w:rsidRPr="00110F00" w:rsidRDefault="005A1093" w:rsidP="002921FD">
      <w:pPr>
        <w:pStyle w:val="FiBLstandard"/>
        <w:rPr>
          <w:lang w:val="en-GB"/>
        </w:rPr>
      </w:pPr>
      <w:r w:rsidRPr="00110F00">
        <w:rPr>
          <w:lang w:val="en-GB"/>
        </w:rPr>
        <w:t xml:space="preserve">The permanent </w:t>
      </w:r>
      <w:r w:rsidR="00963628" w:rsidRPr="00110F00">
        <w:rPr>
          <w:lang w:val="en-GB"/>
        </w:rPr>
        <w:t>sequestration</w:t>
      </w:r>
      <w:r w:rsidRPr="00110F00">
        <w:rPr>
          <w:lang w:val="en-GB"/>
        </w:rPr>
        <w:t xml:space="preserve"> of organic matter is a </w:t>
      </w:r>
      <w:r w:rsidR="00963628" w:rsidRPr="00110F00">
        <w:rPr>
          <w:lang w:val="en-GB"/>
        </w:rPr>
        <w:t>key</w:t>
      </w:r>
      <w:r w:rsidRPr="00110F00">
        <w:rPr>
          <w:lang w:val="en-GB"/>
        </w:rPr>
        <w:t xml:space="preserve"> measure to compensate for GHG emissions from agriculture within its own sphere of influence. </w:t>
      </w:r>
      <w:r w:rsidR="00963628" w:rsidRPr="00110F00">
        <w:rPr>
          <w:lang w:val="en-GB"/>
        </w:rPr>
        <w:t>In the farming sector, s</w:t>
      </w:r>
      <w:r w:rsidRPr="00110F00">
        <w:rPr>
          <w:lang w:val="en-GB"/>
        </w:rPr>
        <w:t xml:space="preserve">everal options are available </w:t>
      </w:r>
      <w:r w:rsidR="00963628" w:rsidRPr="00110F00">
        <w:rPr>
          <w:lang w:val="en-GB"/>
        </w:rPr>
        <w:t>to this end</w:t>
      </w:r>
      <w:r w:rsidRPr="00110F00">
        <w:rPr>
          <w:lang w:val="en-GB"/>
        </w:rPr>
        <w:t>:</w:t>
      </w:r>
    </w:p>
    <w:p w14:paraId="072045FC" w14:textId="3B34BDD0" w:rsidR="002921FD" w:rsidRPr="00110F00" w:rsidRDefault="00963628" w:rsidP="00963628">
      <w:pPr>
        <w:pStyle w:val="FiBLnummerierung"/>
        <w:numPr>
          <w:ilvl w:val="0"/>
          <w:numId w:val="16"/>
        </w:numPr>
        <w:rPr>
          <w:lang w:val="en-GB"/>
        </w:rPr>
      </w:pPr>
      <w:r w:rsidRPr="00110F00">
        <w:rPr>
          <w:lang w:val="en-GB"/>
        </w:rPr>
        <w:t>Sequestration of organic matter in soil organic matter</w:t>
      </w:r>
    </w:p>
    <w:p w14:paraId="436B05F7" w14:textId="7162ABA0" w:rsidR="00963628" w:rsidRPr="00110F00" w:rsidRDefault="00963628" w:rsidP="00963628">
      <w:pPr>
        <w:pStyle w:val="FiBLnummerierung"/>
        <w:numPr>
          <w:ilvl w:val="0"/>
          <w:numId w:val="16"/>
        </w:numPr>
        <w:rPr>
          <w:lang w:val="en-GB"/>
        </w:rPr>
      </w:pPr>
      <w:r w:rsidRPr="00110F00">
        <w:rPr>
          <w:lang w:val="en-GB"/>
        </w:rPr>
        <w:t>Incorporation of plant-based biochar</w:t>
      </w:r>
    </w:p>
    <w:p w14:paraId="626DA7AA" w14:textId="68BD38DD" w:rsidR="002921FD" w:rsidRPr="00110F00" w:rsidRDefault="00963628" w:rsidP="00963628">
      <w:pPr>
        <w:pStyle w:val="FiBLnummerierung"/>
        <w:numPr>
          <w:ilvl w:val="0"/>
          <w:numId w:val="16"/>
        </w:numPr>
        <w:rPr>
          <w:lang w:val="en-GB"/>
        </w:rPr>
      </w:pPr>
      <w:r w:rsidRPr="00110F00">
        <w:rPr>
          <w:lang w:val="en-GB"/>
        </w:rPr>
        <w:t>Establishment of agroforestry systems</w:t>
      </w:r>
    </w:p>
    <w:p w14:paraId="5299B469" w14:textId="42EF7F3A" w:rsidR="00963628" w:rsidRPr="00110F00" w:rsidRDefault="00963628" w:rsidP="002921FD">
      <w:pPr>
        <w:pStyle w:val="FiBLstandard"/>
        <w:rPr>
          <w:lang w:val="en-GB"/>
        </w:rPr>
      </w:pPr>
      <w:r w:rsidRPr="00110F00">
        <w:rPr>
          <w:lang w:val="en-GB"/>
        </w:rPr>
        <w:t xml:space="preserve">It is estimated that the Swiss organic farming system as a whole could sequester </w:t>
      </w:r>
      <w:r w:rsidR="00110F00" w:rsidRPr="00110F00">
        <w:rPr>
          <w:lang w:val="en-GB"/>
        </w:rPr>
        <w:t xml:space="preserve">and thus compensate </w:t>
      </w:r>
      <w:r w:rsidRPr="00110F00">
        <w:rPr>
          <w:lang w:val="en-GB"/>
        </w:rPr>
        <w:t xml:space="preserve">approximately 30% of its GHG emissions </w:t>
      </w:r>
      <w:r w:rsidR="003C4F33" w:rsidRPr="00110F00">
        <w:rPr>
          <w:lang w:val="en-GB"/>
        </w:rPr>
        <w:t xml:space="preserve">by means of these measures </w:t>
      </w:r>
      <w:r w:rsidRPr="00110F00">
        <w:rPr>
          <w:lang w:val="en-GB"/>
        </w:rPr>
        <w:t>(</w:t>
      </w:r>
      <w:r w:rsidR="003C4F33" w:rsidRPr="00110F00">
        <w:rPr>
          <w:lang w:val="en-GB"/>
        </w:rPr>
        <w:fldChar w:fldCharType="begin"/>
      </w:r>
      <w:r w:rsidR="003C4F33" w:rsidRPr="00110F00">
        <w:rPr>
          <w:lang w:val="en-GB"/>
        </w:rPr>
        <w:instrText xml:space="preserve"> REF _Ref98331004 \h </w:instrText>
      </w:r>
      <w:r w:rsidR="003C4F33" w:rsidRPr="00110F00">
        <w:rPr>
          <w:lang w:val="en-GB"/>
        </w:rPr>
      </w:r>
      <w:r w:rsidR="003C4F33" w:rsidRPr="00110F00">
        <w:rPr>
          <w:lang w:val="en-GB"/>
        </w:rPr>
        <w:fldChar w:fldCharType="separate"/>
      </w:r>
      <w:r w:rsidR="005C0B8E" w:rsidRPr="00110F00">
        <w:rPr>
          <w:lang w:val="en-GB"/>
        </w:rPr>
        <w:t xml:space="preserve">Figure </w:t>
      </w:r>
      <w:r w:rsidR="005C0B8E">
        <w:rPr>
          <w:noProof/>
          <w:lang w:val="en-GB"/>
        </w:rPr>
        <w:t>1</w:t>
      </w:r>
      <w:r w:rsidR="003C4F33" w:rsidRPr="00110F00">
        <w:rPr>
          <w:lang w:val="en-GB"/>
        </w:rPr>
        <w:fldChar w:fldCharType="end"/>
      </w:r>
      <w:r w:rsidRPr="00110F00">
        <w:rPr>
          <w:lang w:val="en-GB"/>
        </w:rPr>
        <w:t>).</w:t>
      </w:r>
    </w:p>
    <w:p w14:paraId="614A4E81" w14:textId="77777777" w:rsidR="003C4F33" w:rsidRPr="00110F00" w:rsidRDefault="003C4F33" w:rsidP="003C4F33">
      <w:pPr>
        <w:pStyle w:val="FiBLstandard"/>
        <w:rPr>
          <w:lang w:val="en-GB"/>
        </w:rPr>
      </w:pPr>
      <w:r w:rsidRPr="00110F00">
        <w:rPr>
          <w:b/>
          <w:bCs/>
          <w:lang w:val="en-GB"/>
        </w:rPr>
        <w:t>Soil organic matter (humus)</w:t>
      </w:r>
      <w:r w:rsidR="002921FD" w:rsidRPr="00110F00">
        <w:rPr>
          <w:b/>
          <w:bCs/>
          <w:lang w:val="en-GB"/>
        </w:rPr>
        <w:t xml:space="preserve">: </w:t>
      </w:r>
      <w:r w:rsidRPr="00110F00">
        <w:rPr>
          <w:lang w:val="en-GB"/>
        </w:rPr>
        <w:t xml:space="preserve">The accumulation and stabilisation of soil organic matter are influenced by the following measures: </w:t>
      </w:r>
    </w:p>
    <w:p w14:paraId="44FB78B7" w14:textId="79981CE9" w:rsidR="003C4F33" w:rsidRPr="00110F00" w:rsidRDefault="003C4F33" w:rsidP="003C4F33">
      <w:pPr>
        <w:pStyle w:val="FiBLaufzhlungszeichen"/>
        <w:rPr>
          <w:lang w:val="en-GB"/>
        </w:rPr>
      </w:pPr>
      <w:r w:rsidRPr="00110F00">
        <w:rPr>
          <w:lang w:val="en-GB"/>
        </w:rPr>
        <w:t>Application of livestock farm waste</w:t>
      </w:r>
    </w:p>
    <w:p w14:paraId="2ACE605B" w14:textId="5B9A2229" w:rsidR="003C4F33" w:rsidRPr="00110F00" w:rsidRDefault="003C4F33" w:rsidP="003C4F33">
      <w:pPr>
        <w:pStyle w:val="FiBLaufzhlungszeichen"/>
        <w:rPr>
          <w:lang w:val="en-GB"/>
        </w:rPr>
      </w:pPr>
      <w:r w:rsidRPr="00110F00">
        <w:rPr>
          <w:lang w:val="en-GB"/>
        </w:rPr>
        <w:t xml:space="preserve">Optimisation of crop rotations (inclusion of grass-clover leys, catch crops and </w:t>
      </w:r>
      <w:proofErr w:type="spellStart"/>
      <w:r w:rsidRPr="00110F00">
        <w:rPr>
          <w:lang w:val="en-GB"/>
        </w:rPr>
        <w:t>undersown</w:t>
      </w:r>
      <w:proofErr w:type="spellEnd"/>
      <w:r w:rsidRPr="00110F00">
        <w:rPr>
          <w:lang w:val="en-GB"/>
        </w:rPr>
        <w:t xml:space="preserve"> crops)</w:t>
      </w:r>
    </w:p>
    <w:p w14:paraId="6C4D7C16" w14:textId="591E27BE" w:rsidR="002921FD" w:rsidRPr="00110F00" w:rsidRDefault="003C4F33" w:rsidP="003C4F33">
      <w:pPr>
        <w:pStyle w:val="FiBLaufzhlungszeichen"/>
        <w:rPr>
          <w:lang w:val="en-GB"/>
        </w:rPr>
      </w:pPr>
      <w:r w:rsidRPr="00110F00">
        <w:rPr>
          <w:lang w:val="en-GB"/>
        </w:rPr>
        <w:t>Crop residue management and reduced tillage</w:t>
      </w:r>
    </w:p>
    <w:p w14:paraId="7155CA39" w14:textId="1B95A953" w:rsidR="003C4F33" w:rsidRPr="00110F00" w:rsidRDefault="003C4F33" w:rsidP="002921FD">
      <w:pPr>
        <w:pStyle w:val="FiBLstandard"/>
        <w:rPr>
          <w:lang w:val="en-GB"/>
        </w:rPr>
      </w:pPr>
      <w:r w:rsidRPr="00110F00">
        <w:rPr>
          <w:lang w:val="en-GB"/>
        </w:rPr>
        <w:lastRenderedPageBreak/>
        <w:t xml:space="preserve">It should be noted that soils can only store a limited amount of organic matter and this must be continuously replenished with new organic matter from livestock farm waste, crop residues and root residues. If measures are halted or the humus content in the soil is reduced due to the changing climate, gains in soil organic matter can be lost again within just a few years. Moreover, the potential to store organic matter differs between different soils. The amount that can be </w:t>
      </w:r>
      <w:r w:rsidR="0074602A" w:rsidRPr="00110F00">
        <w:rPr>
          <w:lang w:val="en-GB"/>
        </w:rPr>
        <w:t>sequestered</w:t>
      </w:r>
      <w:r w:rsidRPr="00110F00">
        <w:rPr>
          <w:lang w:val="en-GB"/>
        </w:rPr>
        <w:t xml:space="preserve"> annually decreases as the </w:t>
      </w:r>
      <w:r w:rsidR="000925B1" w:rsidRPr="00110F00">
        <w:rPr>
          <w:lang w:val="en-GB"/>
        </w:rPr>
        <w:t xml:space="preserve">maximum </w:t>
      </w:r>
      <w:r w:rsidRPr="00110F00">
        <w:rPr>
          <w:lang w:val="en-GB"/>
        </w:rPr>
        <w:t>storage potential is approached. Long-term agronomic trials show that under Swiss organic conditions annual storage rates of 100 kg C per hectare and year can be achieved in the long term.</w:t>
      </w:r>
    </w:p>
    <w:p w14:paraId="2BF53B9C" w14:textId="3469EAD6" w:rsidR="0074602A" w:rsidRPr="00110F00" w:rsidRDefault="0074602A" w:rsidP="002921FD">
      <w:pPr>
        <w:pStyle w:val="FiBLstandard"/>
        <w:rPr>
          <w:b/>
          <w:bCs/>
          <w:lang w:val="en-GB"/>
        </w:rPr>
      </w:pPr>
      <w:r w:rsidRPr="00110F00">
        <w:rPr>
          <w:b/>
          <w:bCs/>
          <w:lang w:val="en-GB"/>
        </w:rPr>
        <w:t xml:space="preserve">Plant-based biochar: </w:t>
      </w:r>
      <w:r w:rsidRPr="00110F00">
        <w:rPr>
          <w:bCs/>
          <w:lang w:val="en-GB"/>
        </w:rPr>
        <w:t>The production and application of pla</w:t>
      </w:r>
      <w:r w:rsidR="000925B1" w:rsidRPr="00110F00">
        <w:rPr>
          <w:bCs/>
          <w:lang w:val="en-GB"/>
        </w:rPr>
        <w:t>nt-based biochar is a promising</w:t>
      </w:r>
      <w:r w:rsidRPr="00110F00">
        <w:rPr>
          <w:bCs/>
          <w:lang w:val="en-GB"/>
        </w:rPr>
        <w:t xml:space="preserve"> but also cost-intensive way of removing atmospheric CO</w:t>
      </w:r>
      <w:r w:rsidRPr="00110F00">
        <w:rPr>
          <w:bCs/>
          <w:vertAlign w:val="subscript"/>
          <w:lang w:val="en-GB"/>
        </w:rPr>
        <w:t>2</w:t>
      </w:r>
      <w:r w:rsidRPr="00110F00">
        <w:rPr>
          <w:bCs/>
          <w:lang w:val="en-GB"/>
        </w:rPr>
        <w:t xml:space="preserve"> and storing it profitably in soils over the long term. One tonne of biochar contains approximately 75% organic carbon and can thus compensate for about 2.7 tonnes of CO</w:t>
      </w:r>
      <w:r w:rsidRPr="00110F00">
        <w:rPr>
          <w:bCs/>
          <w:vertAlign w:val="subscript"/>
          <w:lang w:val="en-GB"/>
        </w:rPr>
        <w:t>2</w:t>
      </w:r>
      <w:r w:rsidRPr="00110F00">
        <w:rPr>
          <w:bCs/>
          <w:lang w:val="en-GB"/>
        </w:rPr>
        <w:t xml:space="preserve"> equivalents. It is important that only high-quality plant-based biochar is used (certified to the EBC Standard) to avoid soils being polluted with organic and/or inorganic pollutants. Furthermore, it must be </w:t>
      </w:r>
      <w:proofErr w:type="gramStart"/>
      <w:r w:rsidRPr="00110F00">
        <w:rPr>
          <w:bCs/>
          <w:lang w:val="en-GB"/>
        </w:rPr>
        <w:t>taken into account</w:t>
      </w:r>
      <w:proofErr w:type="gramEnd"/>
      <w:r w:rsidRPr="00110F00">
        <w:rPr>
          <w:bCs/>
          <w:lang w:val="en-GB"/>
        </w:rPr>
        <w:t xml:space="preserve"> that there is not an infinite supply of wood as feedstock for pyrolysis (the manufacturing process of plant-based biochar) and wood must be sustainably extracted. Moreover, </w:t>
      </w:r>
      <w:r w:rsidR="00110F00" w:rsidRPr="00110F00">
        <w:rPr>
          <w:bCs/>
          <w:lang w:val="en-GB"/>
        </w:rPr>
        <w:t>expedient</w:t>
      </w:r>
      <w:r w:rsidRPr="00110F00">
        <w:rPr>
          <w:bCs/>
          <w:lang w:val="en-GB"/>
        </w:rPr>
        <w:t xml:space="preserve"> </w:t>
      </w:r>
      <w:r w:rsidR="00C94D26" w:rsidRPr="00110F00">
        <w:rPr>
          <w:bCs/>
          <w:lang w:val="en-GB"/>
        </w:rPr>
        <w:t xml:space="preserve">biochar </w:t>
      </w:r>
      <w:r w:rsidRPr="00110F00">
        <w:rPr>
          <w:bCs/>
          <w:lang w:val="en-GB"/>
        </w:rPr>
        <w:t xml:space="preserve">activation (e.g. co-composting, </w:t>
      </w:r>
      <w:r w:rsidR="00110F00" w:rsidRPr="00110F00">
        <w:rPr>
          <w:bCs/>
          <w:lang w:val="en-GB"/>
        </w:rPr>
        <w:t xml:space="preserve">admixture </w:t>
      </w:r>
      <w:r w:rsidR="00C94D26" w:rsidRPr="00110F00">
        <w:rPr>
          <w:bCs/>
          <w:lang w:val="en-GB"/>
        </w:rPr>
        <w:t>with</w:t>
      </w:r>
      <w:r w:rsidRPr="00110F00">
        <w:rPr>
          <w:bCs/>
          <w:lang w:val="en-GB"/>
        </w:rPr>
        <w:t xml:space="preserve"> livestock farm waste, cascade use in livestock husbandry) must be ensured before it is </w:t>
      </w:r>
      <w:proofErr w:type="spellStart"/>
      <w:r w:rsidR="00C94D26" w:rsidRPr="00110F00">
        <w:rPr>
          <w:bCs/>
          <w:lang w:val="en-GB"/>
        </w:rPr>
        <w:t>land</w:t>
      </w:r>
      <w:r w:rsidRPr="00110F00">
        <w:rPr>
          <w:bCs/>
          <w:lang w:val="en-GB"/>
        </w:rPr>
        <w:t>spread</w:t>
      </w:r>
      <w:proofErr w:type="spellEnd"/>
      <w:r w:rsidRPr="00110F00">
        <w:rPr>
          <w:bCs/>
          <w:lang w:val="en-GB"/>
        </w:rPr>
        <w:t xml:space="preserve">. The study estimates that sufficient </w:t>
      </w:r>
      <w:r w:rsidR="00C94D26" w:rsidRPr="00110F00">
        <w:rPr>
          <w:bCs/>
          <w:lang w:val="en-GB"/>
        </w:rPr>
        <w:t>feedstock</w:t>
      </w:r>
      <w:r w:rsidRPr="00110F00">
        <w:rPr>
          <w:bCs/>
          <w:lang w:val="en-GB"/>
        </w:rPr>
        <w:t xml:space="preserve"> material can be made available to apply 100 kg </w:t>
      </w:r>
      <w:r w:rsidR="00C94D26" w:rsidRPr="00110F00">
        <w:rPr>
          <w:bCs/>
          <w:lang w:val="en-GB"/>
        </w:rPr>
        <w:t>of carbon</w:t>
      </w:r>
      <w:r w:rsidRPr="00110F00">
        <w:rPr>
          <w:bCs/>
          <w:lang w:val="en-GB"/>
        </w:rPr>
        <w:t xml:space="preserve"> in the form of plant-based biochar per hectare and year on Swiss organic land </w:t>
      </w:r>
      <w:r w:rsidR="00C94D26" w:rsidRPr="00110F00">
        <w:rPr>
          <w:bCs/>
          <w:lang w:val="en-GB"/>
        </w:rPr>
        <w:t>over</w:t>
      </w:r>
      <w:r w:rsidRPr="00110F00">
        <w:rPr>
          <w:bCs/>
          <w:lang w:val="en-GB"/>
        </w:rPr>
        <w:t xml:space="preserve"> the long term.</w:t>
      </w:r>
    </w:p>
    <w:p w14:paraId="6FCFC1F1" w14:textId="12BD3043" w:rsidR="00C94D26" w:rsidRPr="00110F00" w:rsidRDefault="00C94D26" w:rsidP="002921FD">
      <w:pPr>
        <w:pStyle w:val="FiBLstandard"/>
        <w:rPr>
          <w:b/>
          <w:bCs/>
          <w:lang w:val="en-GB"/>
        </w:rPr>
      </w:pPr>
      <w:r w:rsidRPr="00110F00">
        <w:rPr>
          <w:b/>
          <w:bCs/>
          <w:lang w:val="en-GB"/>
        </w:rPr>
        <w:t xml:space="preserve">Agroforestry: </w:t>
      </w:r>
      <w:r w:rsidRPr="00110F00">
        <w:rPr>
          <w:bCs/>
          <w:lang w:val="en-GB"/>
        </w:rPr>
        <w:t xml:space="preserve">These systems offer a wide range of opportunities to store large amounts of organic matter in soils and biomass, to increase biodiversity and to better adapt agricultural production to </w:t>
      </w:r>
      <w:r w:rsidR="00110F00" w:rsidRPr="00110F00">
        <w:rPr>
          <w:bCs/>
          <w:lang w:val="en-GB"/>
        </w:rPr>
        <w:t xml:space="preserve">the level of </w:t>
      </w:r>
      <w:r w:rsidRPr="00110F00">
        <w:rPr>
          <w:bCs/>
          <w:lang w:val="en-GB"/>
        </w:rPr>
        <w:t>climate change which can no longer be prevented. Depending on the region and farm type, suitable agroforestry systems can be established at different intensities. In the preliminary study, we assumed that by 2040 around a quarter of Swiss organic farms will have established agroforestry systems on their land and that approximately one tonne of carbon per hectare and year can be stored in the biomass.</w:t>
      </w:r>
    </w:p>
    <w:p w14:paraId="59F2A079" w14:textId="5E614EF3" w:rsidR="00C94D26" w:rsidRPr="00110F00" w:rsidRDefault="00C94D26" w:rsidP="00002452">
      <w:pPr>
        <w:pStyle w:val="FiBLberschrift1"/>
        <w:ind w:left="862" w:hanging="862"/>
        <w:rPr>
          <w:b w:val="0"/>
          <w:lang w:val="en-GB"/>
        </w:rPr>
      </w:pPr>
      <w:r w:rsidRPr="00110F00">
        <w:rPr>
          <w:lang w:val="en-GB"/>
        </w:rPr>
        <w:t>Compensation by means of renewable energy generation</w:t>
      </w:r>
    </w:p>
    <w:p w14:paraId="38B7B354" w14:textId="29F94ABE" w:rsidR="00C94D26" w:rsidRPr="00110F00" w:rsidRDefault="00C94D26" w:rsidP="002921FD">
      <w:pPr>
        <w:pStyle w:val="FiBLstandard"/>
        <w:rPr>
          <w:lang w:val="en-GB"/>
        </w:rPr>
      </w:pPr>
      <w:r w:rsidRPr="00110F00">
        <w:rPr>
          <w:lang w:val="en-GB"/>
        </w:rPr>
        <w:t xml:space="preserve">The farming sector has at its disposal a large </w:t>
      </w:r>
      <w:proofErr w:type="gramStart"/>
      <w:r w:rsidRPr="00110F00">
        <w:rPr>
          <w:lang w:val="en-GB"/>
        </w:rPr>
        <w:t>amount</w:t>
      </w:r>
      <w:proofErr w:type="gramEnd"/>
      <w:r w:rsidRPr="00110F00">
        <w:rPr>
          <w:lang w:val="en-GB"/>
        </w:rPr>
        <w:t xml:space="preserve"> of surfaces that can be used to install photovoltaic (PV) systems for the generation of renewable energy.</w:t>
      </w:r>
    </w:p>
    <w:p w14:paraId="3A7DC508" w14:textId="43288D18" w:rsidR="00497F53" w:rsidRPr="00110F00" w:rsidRDefault="00497F53" w:rsidP="002921FD">
      <w:pPr>
        <w:pStyle w:val="FiBLstandard"/>
        <w:rPr>
          <w:lang w:val="en-GB"/>
        </w:rPr>
      </w:pPr>
      <w:r w:rsidRPr="00110F00">
        <w:rPr>
          <w:b/>
          <w:bCs/>
          <w:lang w:val="en-GB"/>
        </w:rPr>
        <w:t>Photovoltaics</w:t>
      </w:r>
      <w:r w:rsidR="002921FD" w:rsidRPr="00110F00">
        <w:rPr>
          <w:lang w:val="en-GB"/>
        </w:rPr>
        <w:t xml:space="preserve">: </w:t>
      </w:r>
      <w:r w:rsidRPr="00110F00">
        <w:rPr>
          <w:lang w:val="en-GB"/>
        </w:rPr>
        <w:t>PV in particular is well applicable in Switzerland because of the country’s high number of sunshine hours. With an average roof area of 200 m</w:t>
      </w:r>
      <w:r w:rsidRPr="00110F00">
        <w:rPr>
          <w:vertAlign w:val="superscript"/>
          <w:lang w:val="en-GB"/>
        </w:rPr>
        <w:t>2</w:t>
      </w:r>
      <w:r w:rsidRPr="00110F00">
        <w:rPr>
          <w:lang w:val="en-GB"/>
        </w:rPr>
        <w:t xml:space="preserve"> per organic farm, approximately 1% of the </w:t>
      </w:r>
      <w:r w:rsidR="000925B1" w:rsidRPr="00110F00">
        <w:rPr>
          <w:lang w:val="en-GB"/>
        </w:rPr>
        <w:t xml:space="preserve">annual </w:t>
      </w:r>
      <w:r w:rsidRPr="00110F00">
        <w:rPr>
          <w:lang w:val="en-GB"/>
        </w:rPr>
        <w:t xml:space="preserve">GHG emissions generated by organic farming in Switzerland could be offset </w:t>
      </w:r>
      <w:r w:rsidR="000925B1" w:rsidRPr="00110F00">
        <w:rPr>
          <w:lang w:val="en-GB"/>
        </w:rPr>
        <w:t>by</w:t>
      </w:r>
      <w:r w:rsidRPr="00110F00">
        <w:rPr>
          <w:lang w:val="en-GB"/>
        </w:rPr>
        <w:t xml:space="preserve"> 2040.</w:t>
      </w:r>
    </w:p>
    <w:p w14:paraId="66F191AB" w14:textId="6C0EC6B1" w:rsidR="00497F53" w:rsidRPr="00110F00" w:rsidRDefault="00497F53" w:rsidP="002921FD">
      <w:pPr>
        <w:pStyle w:val="FiBLstandard"/>
        <w:rPr>
          <w:lang w:val="en-GB"/>
        </w:rPr>
      </w:pPr>
      <w:r w:rsidRPr="00110F00">
        <w:rPr>
          <w:b/>
          <w:bCs/>
          <w:lang w:val="en-GB"/>
        </w:rPr>
        <w:t>Agri-photovoltaics</w:t>
      </w:r>
      <w:r w:rsidR="002921FD" w:rsidRPr="00110F00">
        <w:rPr>
          <w:lang w:val="en-GB"/>
        </w:rPr>
        <w:t xml:space="preserve">: </w:t>
      </w:r>
      <w:r w:rsidRPr="00110F00">
        <w:rPr>
          <w:lang w:val="en-GB"/>
        </w:rPr>
        <w:t xml:space="preserve">In addition to rooftops, in the near future orchards, arable land and grassland may also be possible sites, resulting in a form of dual land use referred to as </w:t>
      </w:r>
      <w:proofErr w:type="spellStart"/>
      <w:r w:rsidRPr="00110F00">
        <w:rPr>
          <w:lang w:val="en-GB"/>
        </w:rPr>
        <w:t>agri</w:t>
      </w:r>
      <w:proofErr w:type="spellEnd"/>
      <w:r w:rsidRPr="00110F00">
        <w:rPr>
          <w:lang w:val="en-GB"/>
        </w:rPr>
        <w:t>-photovoltaic systems</w:t>
      </w:r>
      <w:r w:rsidR="00EC0987" w:rsidRPr="00110F00">
        <w:rPr>
          <w:lang w:val="en-GB"/>
        </w:rPr>
        <w:t xml:space="preserve"> (APV)</w:t>
      </w:r>
      <w:r w:rsidRPr="00110F00">
        <w:rPr>
          <w:lang w:val="en-GB"/>
        </w:rPr>
        <w:t xml:space="preserve">. In addition to GHG compensation and </w:t>
      </w:r>
      <w:r w:rsidRPr="00110F00">
        <w:rPr>
          <w:lang w:val="en-GB"/>
        </w:rPr>
        <w:lastRenderedPageBreak/>
        <w:t xml:space="preserve">additional income generation, </w:t>
      </w:r>
      <w:r w:rsidR="00EC0987" w:rsidRPr="00110F00">
        <w:rPr>
          <w:lang w:val="en-GB"/>
        </w:rPr>
        <w:t>APV</w:t>
      </w:r>
      <w:r w:rsidRPr="00110F00">
        <w:rPr>
          <w:lang w:val="en-GB"/>
        </w:rPr>
        <w:t xml:space="preserve"> systems deliver other positive impacts on agricultural production, especially in terms of climate change adaptation. In field trials, for example, higher yields were achieved in drought years under </w:t>
      </w:r>
      <w:r w:rsidR="00EC0987" w:rsidRPr="00110F00">
        <w:rPr>
          <w:lang w:val="en-GB"/>
        </w:rPr>
        <w:t>APV</w:t>
      </w:r>
      <w:r w:rsidRPr="00110F00">
        <w:rPr>
          <w:lang w:val="en-GB"/>
        </w:rPr>
        <w:t xml:space="preserve"> systems than outside of the systems. However, ground-mounted systems need space and alter the scenic qualities of the landscape. On the other hand, own energy production in combination with electrification and downsizing of equipment allow for further independence from external suppliers and a substantial reduction of the farm</w:t>
      </w:r>
      <w:r w:rsidR="000925B1" w:rsidRPr="00110F00">
        <w:rPr>
          <w:lang w:val="en-GB"/>
        </w:rPr>
        <w:t>s’</w:t>
      </w:r>
      <w:r w:rsidRPr="00110F00">
        <w:rPr>
          <w:lang w:val="en-GB"/>
        </w:rPr>
        <w:t xml:space="preserve"> carbon footprint. If 7,500 ha</w:t>
      </w:r>
      <w:r w:rsidR="00EC0987" w:rsidRPr="00110F00">
        <w:rPr>
          <w:lang w:val="en-GB"/>
        </w:rPr>
        <w:t xml:space="preserve"> of land on</w:t>
      </w:r>
      <w:r w:rsidRPr="00110F00">
        <w:rPr>
          <w:lang w:val="en-GB"/>
        </w:rPr>
        <w:t xml:space="preserve"> Swiss or</w:t>
      </w:r>
      <w:r w:rsidR="00EC0987" w:rsidRPr="00110F00">
        <w:rPr>
          <w:lang w:val="en-GB"/>
        </w:rPr>
        <w:t>ganic farms were equipped with APV</w:t>
      </w:r>
      <w:r w:rsidRPr="00110F00">
        <w:rPr>
          <w:lang w:val="en-GB"/>
        </w:rPr>
        <w:t xml:space="preserve">, this could compensate 15% </w:t>
      </w:r>
      <w:r w:rsidR="00EC0987" w:rsidRPr="00110F00">
        <w:rPr>
          <w:lang w:val="en-GB"/>
        </w:rPr>
        <w:t xml:space="preserve">of </w:t>
      </w:r>
      <w:r w:rsidRPr="00110F00">
        <w:rPr>
          <w:lang w:val="en-GB"/>
        </w:rPr>
        <w:t xml:space="preserve">GHG emissions. </w:t>
      </w:r>
      <w:r w:rsidR="00EC0987" w:rsidRPr="00110F00">
        <w:rPr>
          <w:lang w:val="en-GB"/>
        </w:rPr>
        <w:t>Such a step</w:t>
      </w:r>
      <w:r w:rsidRPr="00110F00">
        <w:rPr>
          <w:lang w:val="en-GB"/>
        </w:rPr>
        <w:t xml:space="preserve"> would </w:t>
      </w:r>
      <w:r w:rsidR="00EC0987" w:rsidRPr="00110F00">
        <w:rPr>
          <w:lang w:val="en-GB"/>
        </w:rPr>
        <w:t>involve</w:t>
      </w:r>
      <w:r w:rsidRPr="00110F00">
        <w:rPr>
          <w:lang w:val="en-GB"/>
        </w:rPr>
        <w:t xml:space="preserve"> approximately 3% of the agricultural area </w:t>
      </w:r>
      <w:r w:rsidR="00EC0987" w:rsidRPr="00110F00">
        <w:rPr>
          <w:lang w:val="en-GB"/>
        </w:rPr>
        <w:t xml:space="preserve">under </w:t>
      </w:r>
      <w:r w:rsidRPr="00110F00">
        <w:rPr>
          <w:lang w:val="en-GB"/>
        </w:rPr>
        <w:t xml:space="preserve">organic </w:t>
      </w:r>
      <w:r w:rsidR="00EC0987" w:rsidRPr="00110F00">
        <w:rPr>
          <w:lang w:val="en-GB"/>
        </w:rPr>
        <w:t>management in Switzerland</w:t>
      </w:r>
      <w:r w:rsidRPr="00110F00">
        <w:rPr>
          <w:lang w:val="en-GB"/>
        </w:rPr>
        <w:t xml:space="preserve"> in 2040.</w:t>
      </w:r>
    </w:p>
    <w:p w14:paraId="37E92000" w14:textId="5C368932" w:rsidR="00EC0987" w:rsidRPr="00110F00" w:rsidRDefault="00EC0987" w:rsidP="002921FD">
      <w:pPr>
        <w:pStyle w:val="FiBLstandard"/>
        <w:rPr>
          <w:lang w:val="en-GB"/>
        </w:rPr>
      </w:pPr>
      <w:r w:rsidRPr="00110F00">
        <w:rPr>
          <w:lang w:val="en-GB"/>
        </w:rPr>
        <w:t>When offsetting GHG emissions through renewable energy generation, it is important to note that the offsetting performance depends directly on the CO</w:t>
      </w:r>
      <w:r w:rsidRPr="00110F00">
        <w:rPr>
          <w:vertAlign w:val="subscript"/>
          <w:lang w:val="en-GB"/>
        </w:rPr>
        <w:t>2</w:t>
      </w:r>
      <w:r w:rsidRPr="00110F00">
        <w:rPr>
          <w:lang w:val="en-GB"/>
        </w:rPr>
        <w:t xml:space="preserve"> emissions load of the electricity mix used. As long as fossil fuels are used to generate the electricity, a significant amount of GHG emissions can be offset. The higher the share of renewables in the electricity mix, the less GHG emissions can be offset with APV plants.</w:t>
      </w:r>
    </w:p>
    <w:p w14:paraId="63A51ECF" w14:textId="197B4C25" w:rsidR="002921FD" w:rsidRPr="00110F00" w:rsidRDefault="007A55AB" w:rsidP="007A55AB">
      <w:pPr>
        <w:pStyle w:val="FiBLberschrift1"/>
        <w:rPr>
          <w:lang w:val="en-GB"/>
        </w:rPr>
      </w:pPr>
      <w:r w:rsidRPr="00110F00">
        <w:rPr>
          <w:lang w:val="en-GB"/>
        </w:rPr>
        <w:t>Climate resilience</w:t>
      </w:r>
    </w:p>
    <w:p w14:paraId="14000EFE" w14:textId="0848FC24" w:rsidR="007A55AB" w:rsidRPr="00110F00" w:rsidRDefault="007A55AB" w:rsidP="002921FD">
      <w:pPr>
        <w:pStyle w:val="FiBLstandard"/>
        <w:rPr>
          <w:lang w:val="en-GB"/>
        </w:rPr>
      </w:pPr>
      <w:r w:rsidRPr="00110F00">
        <w:rPr>
          <w:lang w:val="en-GB"/>
        </w:rPr>
        <w:t xml:space="preserve">Some of the measures, in particular the accumulation and stabilisation of soil organic matter, the establishment of agroforestry systems and the use of </w:t>
      </w:r>
      <w:proofErr w:type="spellStart"/>
      <w:r w:rsidRPr="00110F00">
        <w:rPr>
          <w:lang w:val="en-GB"/>
        </w:rPr>
        <w:t>agri</w:t>
      </w:r>
      <w:proofErr w:type="spellEnd"/>
      <w:r w:rsidRPr="00110F00">
        <w:rPr>
          <w:lang w:val="en-GB"/>
        </w:rPr>
        <w:t xml:space="preserve">-photovoltaic systems, help to ensure that agriculture is better adapted to the predicted impacts of climate change. </w:t>
      </w:r>
      <w:r w:rsidR="00110F00" w:rsidRPr="00110F00">
        <w:rPr>
          <w:lang w:val="en-GB"/>
        </w:rPr>
        <w:t xml:space="preserve">Thereby, </w:t>
      </w:r>
      <w:r w:rsidRPr="00110F00">
        <w:rPr>
          <w:lang w:val="en-GB"/>
        </w:rPr>
        <w:t>in addition to mitigating climate change, these measures have other benefits that can ensure yield and supply stability in the future.</w:t>
      </w:r>
    </w:p>
    <w:p w14:paraId="0B652731" w14:textId="69BEAF21" w:rsidR="002921FD" w:rsidRPr="00110F00" w:rsidRDefault="007A55AB" w:rsidP="002921FD">
      <w:pPr>
        <w:pStyle w:val="FiBLberschrift1"/>
        <w:rPr>
          <w:lang w:val="en-GB"/>
        </w:rPr>
      </w:pPr>
      <w:r w:rsidRPr="00110F00">
        <w:rPr>
          <w:lang w:val="en-GB"/>
        </w:rPr>
        <w:t>Conclusions</w:t>
      </w:r>
    </w:p>
    <w:p w14:paraId="22098479" w14:textId="34E6C537" w:rsidR="007A55AB" w:rsidRPr="00110F00" w:rsidRDefault="00110F00" w:rsidP="007A55AB">
      <w:pPr>
        <w:pStyle w:val="FiBLstandard"/>
        <w:rPr>
          <w:lang w:val="en-GB"/>
        </w:rPr>
      </w:pPr>
      <w:r w:rsidRPr="00110F00">
        <w:rPr>
          <w:lang w:val="en-GB"/>
        </w:rPr>
        <w:t xml:space="preserve">Proceeding from </w:t>
      </w:r>
      <w:r w:rsidR="007A55AB" w:rsidRPr="00110F00">
        <w:rPr>
          <w:lang w:val="en-GB"/>
        </w:rPr>
        <w:t xml:space="preserve">the baseline data on organic agriculture and climate change mitigation as compiled for this study, a variety of scenarios were modelled to </w:t>
      </w:r>
      <w:r w:rsidRPr="00110F00">
        <w:rPr>
          <w:lang w:val="en-GB"/>
        </w:rPr>
        <w:t xml:space="preserve">appraise </w:t>
      </w:r>
      <w:r w:rsidR="007A55AB" w:rsidRPr="00110F00">
        <w:rPr>
          <w:lang w:val="en-GB"/>
        </w:rPr>
        <w:t xml:space="preserve">the conditions for achieving carbon-neutral organic agriculture by 2040 and to identify the greatest challenges </w:t>
      </w:r>
      <w:proofErr w:type="spellStart"/>
      <w:r w:rsidR="007A55AB" w:rsidRPr="00110F00">
        <w:rPr>
          <w:lang w:val="en-GB"/>
        </w:rPr>
        <w:t>en</w:t>
      </w:r>
      <w:proofErr w:type="spellEnd"/>
      <w:r w:rsidR="007A55AB" w:rsidRPr="00110F00">
        <w:rPr>
          <w:lang w:val="en-GB"/>
        </w:rPr>
        <w:t xml:space="preserve"> route.</w:t>
      </w:r>
    </w:p>
    <w:p w14:paraId="0D6AA270" w14:textId="3F810888" w:rsidR="007A55AB" w:rsidRPr="00110F00" w:rsidRDefault="007A55AB" w:rsidP="002921FD">
      <w:pPr>
        <w:pStyle w:val="FiBLstandard"/>
        <w:rPr>
          <w:bCs/>
          <w:lang w:val="en-GB"/>
        </w:rPr>
      </w:pPr>
      <w:r w:rsidRPr="00110F00">
        <w:rPr>
          <w:b/>
          <w:bCs/>
          <w:lang w:val="en-GB"/>
        </w:rPr>
        <w:t xml:space="preserve">On-farm measures </w:t>
      </w:r>
      <w:r w:rsidRPr="00110F00">
        <w:rPr>
          <w:bCs/>
          <w:lang w:val="en-GB"/>
        </w:rPr>
        <w:t xml:space="preserve">will allow for emissions reductions in the order of 15%. In addition, there is a potential to offset approximately 30% of emissions by means of carbon sequestration (soil organic carbon, plant-based biochar and agroforestry). This requires the full-coverage application of measures to increase soil organic matter and the widespread practice of agroforestry. A further 15% of emissions could be offset through the production of renewable energy (especially </w:t>
      </w:r>
      <w:proofErr w:type="spellStart"/>
      <w:r w:rsidRPr="00110F00">
        <w:rPr>
          <w:bCs/>
          <w:lang w:val="en-GB"/>
        </w:rPr>
        <w:t>agri</w:t>
      </w:r>
      <w:proofErr w:type="spellEnd"/>
      <w:r w:rsidRPr="00110F00">
        <w:rPr>
          <w:bCs/>
          <w:lang w:val="en-GB"/>
        </w:rPr>
        <w:t>-photovoltaics). Based on these assumptions and calculations, the farming sector can contribute a total of</w:t>
      </w:r>
      <w:r w:rsidR="00B1051A" w:rsidRPr="00110F00">
        <w:rPr>
          <w:bCs/>
          <w:lang w:val="en-GB"/>
        </w:rPr>
        <w:t xml:space="preserve"> up to 60% to target attainment </w:t>
      </w:r>
      <w:r w:rsidR="00B1051A" w:rsidRPr="00110F00">
        <w:rPr>
          <w:lang w:val="en-GB"/>
        </w:rPr>
        <w:t>(</w:t>
      </w:r>
      <w:r w:rsidR="00B1051A" w:rsidRPr="00110F00">
        <w:rPr>
          <w:lang w:val="en-GB"/>
        </w:rPr>
        <w:fldChar w:fldCharType="begin"/>
      </w:r>
      <w:r w:rsidR="00B1051A" w:rsidRPr="00110F00">
        <w:rPr>
          <w:lang w:val="en-GB"/>
        </w:rPr>
        <w:instrText xml:space="preserve"> REF _Ref98331004 \h </w:instrText>
      </w:r>
      <w:r w:rsidR="00B1051A" w:rsidRPr="00110F00">
        <w:rPr>
          <w:lang w:val="en-GB"/>
        </w:rPr>
      </w:r>
      <w:r w:rsidR="00B1051A" w:rsidRPr="00110F00">
        <w:rPr>
          <w:lang w:val="en-GB"/>
        </w:rPr>
        <w:fldChar w:fldCharType="separate"/>
      </w:r>
      <w:r w:rsidR="005C0B8E" w:rsidRPr="00110F00">
        <w:rPr>
          <w:lang w:val="en-GB"/>
        </w:rPr>
        <w:t xml:space="preserve">Figure </w:t>
      </w:r>
      <w:r w:rsidR="005C0B8E">
        <w:rPr>
          <w:noProof/>
          <w:lang w:val="en-GB"/>
        </w:rPr>
        <w:t>1</w:t>
      </w:r>
      <w:r w:rsidR="00B1051A" w:rsidRPr="00110F00">
        <w:rPr>
          <w:lang w:val="en-GB"/>
        </w:rPr>
        <w:fldChar w:fldCharType="end"/>
      </w:r>
      <w:r w:rsidR="00B1051A" w:rsidRPr="00110F00">
        <w:rPr>
          <w:lang w:val="en-GB"/>
        </w:rPr>
        <w:t>).</w:t>
      </w:r>
    </w:p>
    <w:p w14:paraId="43712BF1" w14:textId="24F84632" w:rsidR="007A55AB" w:rsidRPr="00110F00" w:rsidRDefault="007A55AB" w:rsidP="002921FD">
      <w:pPr>
        <w:pStyle w:val="FiBLstandard"/>
        <w:rPr>
          <w:color w:val="70AD47" w:themeColor="accent6"/>
          <w:lang w:val="en-GB"/>
        </w:rPr>
      </w:pPr>
      <w:r w:rsidRPr="00110F00">
        <w:rPr>
          <w:lang w:val="en-GB"/>
        </w:rPr>
        <w:t xml:space="preserve">A key contribution to achieving net zero GHG emissions in agricultural production must also be made on the </w:t>
      </w:r>
      <w:r w:rsidRPr="00110F00">
        <w:rPr>
          <w:b/>
          <w:lang w:val="en-GB"/>
        </w:rPr>
        <w:t>consumer side and in the markets</w:t>
      </w:r>
      <w:r w:rsidRPr="00110F00">
        <w:rPr>
          <w:lang w:val="en-GB"/>
        </w:rPr>
        <w:t>. The study shows that changes here can reduce emissions by about 25%</w:t>
      </w:r>
      <w:r w:rsidR="00B1051A" w:rsidRPr="00110F00">
        <w:rPr>
          <w:lang w:val="en-GB"/>
        </w:rPr>
        <w:t xml:space="preserve"> (</w:t>
      </w:r>
      <w:r w:rsidR="00B1051A" w:rsidRPr="00110F00">
        <w:rPr>
          <w:lang w:val="en-GB"/>
        </w:rPr>
        <w:fldChar w:fldCharType="begin"/>
      </w:r>
      <w:r w:rsidR="00B1051A" w:rsidRPr="00110F00">
        <w:rPr>
          <w:lang w:val="en-GB"/>
        </w:rPr>
        <w:instrText xml:space="preserve"> REF _Ref98331004 \h </w:instrText>
      </w:r>
      <w:r w:rsidR="00B1051A" w:rsidRPr="00110F00">
        <w:rPr>
          <w:lang w:val="en-GB"/>
        </w:rPr>
      </w:r>
      <w:r w:rsidR="00B1051A" w:rsidRPr="00110F00">
        <w:rPr>
          <w:lang w:val="en-GB"/>
        </w:rPr>
        <w:fldChar w:fldCharType="separate"/>
      </w:r>
      <w:r w:rsidR="005C0B8E" w:rsidRPr="00110F00">
        <w:rPr>
          <w:lang w:val="en-GB"/>
        </w:rPr>
        <w:t xml:space="preserve">Figure </w:t>
      </w:r>
      <w:r w:rsidR="005C0B8E">
        <w:rPr>
          <w:noProof/>
          <w:lang w:val="en-GB"/>
        </w:rPr>
        <w:t>1</w:t>
      </w:r>
      <w:r w:rsidR="00B1051A" w:rsidRPr="00110F00">
        <w:rPr>
          <w:lang w:val="en-GB"/>
        </w:rPr>
        <w:fldChar w:fldCharType="end"/>
      </w:r>
      <w:r w:rsidR="00B1051A" w:rsidRPr="00110F00">
        <w:rPr>
          <w:lang w:val="en-GB"/>
        </w:rPr>
        <w:t>).</w:t>
      </w:r>
      <w:r w:rsidRPr="00110F00">
        <w:rPr>
          <w:lang w:val="en-GB"/>
        </w:rPr>
        <w:t xml:space="preserve"> This would be achieved through reductions in food waste </w:t>
      </w:r>
      <w:r w:rsidR="002E7000" w:rsidRPr="00110F00">
        <w:rPr>
          <w:lang w:val="en-GB"/>
        </w:rPr>
        <w:t xml:space="preserve">and </w:t>
      </w:r>
      <w:r w:rsidRPr="00110F00">
        <w:rPr>
          <w:lang w:val="en-GB"/>
        </w:rPr>
        <w:t>changes in dietary habits (</w:t>
      </w:r>
      <w:r w:rsidR="002E7000" w:rsidRPr="00110F00">
        <w:rPr>
          <w:lang w:val="en-GB"/>
        </w:rPr>
        <w:t xml:space="preserve">following </w:t>
      </w:r>
      <w:r w:rsidRPr="00110F00">
        <w:rPr>
          <w:lang w:val="en-GB"/>
        </w:rPr>
        <w:t xml:space="preserve">the food </w:t>
      </w:r>
      <w:r w:rsidRPr="00110F00">
        <w:rPr>
          <w:lang w:val="en-GB"/>
        </w:rPr>
        <w:lastRenderedPageBreak/>
        <w:t>pyramid</w:t>
      </w:r>
      <w:r w:rsidR="002E7000" w:rsidRPr="00110F00">
        <w:rPr>
          <w:lang w:val="en-GB"/>
        </w:rPr>
        <w:t xml:space="preserve"> concept</w:t>
      </w:r>
      <w:r w:rsidRPr="00110F00">
        <w:rPr>
          <w:lang w:val="en-GB"/>
        </w:rPr>
        <w:t>)</w:t>
      </w:r>
      <w:r w:rsidR="002E7000" w:rsidRPr="00110F00">
        <w:rPr>
          <w:lang w:val="en-GB"/>
        </w:rPr>
        <w:t>,</w:t>
      </w:r>
      <w:r w:rsidRPr="00110F00">
        <w:rPr>
          <w:lang w:val="en-GB"/>
        </w:rPr>
        <w:t xml:space="preserve"> and </w:t>
      </w:r>
      <w:r w:rsidR="002E7000" w:rsidRPr="00110F00">
        <w:rPr>
          <w:lang w:val="en-GB"/>
        </w:rPr>
        <w:t xml:space="preserve">through </w:t>
      </w:r>
      <w:r w:rsidRPr="00110F00">
        <w:rPr>
          <w:lang w:val="en-GB"/>
        </w:rPr>
        <w:t xml:space="preserve">circular food systems. </w:t>
      </w:r>
      <w:r w:rsidR="002E7000" w:rsidRPr="00110F00">
        <w:rPr>
          <w:lang w:val="en-GB"/>
        </w:rPr>
        <w:t xml:space="preserve">It </w:t>
      </w:r>
      <w:r w:rsidRPr="00110F00">
        <w:rPr>
          <w:lang w:val="en-GB"/>
        </w:rPr>
        <w:t xml:space="preserve">would be accompanied by a decrease in the consumption of livestock-based foods and an increase in the consumption of organically produced plant-based foods. </w:t>
      </w:r>
      <w:r w:rsidR="00B1051A" w:rsidRPr="00110F00">
        <w:rPr>
          <w:lang w:val="en-GB"/>
        </w:rPr>
        <w:t xml:space="preserve">In this system, livestock would be primarily fed feed that does not compete </w:t>
      </w:r>
      <w:r w:rsidR="00110F00" w:rsidRPr="00110F00">
        <w:rPr>
          <w:lang w:val="en-GB"/>
        </w:rPr>
        <w:t xml:space="preserve">directly </w:t>
      </w:r>
      <w:r w:rsidR="00B1051A" w:rsidRPr="00110F00">
        <w:rPr>
          <w:lang w:val="en-GB"/>
        </w:rPr>
        <w:t xml:space="preserve">with food production. The production of feedstuffs such as grain, soya and fodder maize would thus be greatly reduced (feed no food). </w:t>
      </w:r>
      <w:r w:rsidRPr="00110F00">
        <w:rPr>
          <w:lang w:val="en-GB"/>
        </w:rPr>
        <w:t>Reductions in food waste and food losses would also contribute to reducing the carbon footprint. With regard to the transformation of the food system, cooperation and support for relevant structures on the part of the markets and by means of policy measures will be indispensable.</w:t>
      </w:r>
    </w:p>
    <w:p w14:paraId="303D4A3F" w14:textId="2FACF7C1" w:rsidR="007A55AB" w:rsidRPr="00110F00" w:rsidRDefault="007A55AB" w:rsidP="002921FD">
      <w:pPr>
        <w:pStyle w:val="FiBLstandard"/>
        <w:rPr>
          <w:lang w:val="en-GB"/>
        </w:rPr>
      </w:pPr>
      <w:r w:rsidRPr="00110F00">
        <w:rPr>
          <w:lang w:val="en-GB"/>
        </w:rPr>
        <w:t xml:space="preserve">In addition, new </w:t>
      </w:r>
      <w:r w:rsidRPr="00110F00">
        <w:rPr>
          <w:b/>
          <w:lang w:val="en-GB"/>
        </w:rPr>
        <w:t>innovations</w:t>
      </w:r>
      <w:r w:rsidRPr="00110F00">
        <w:rPr>
          <w:lang w:val="en-GB"/>
        </w:rPr>
        <w:t xml:space="preserve"> </w:t>
      </w:r>
      <w:r w:rsidR="00B1051A" w:rsidRPr="00110F00">
        <w:rPr>
          <w:lang w:val="en-GB"/>
        </w:rPr>
        <w:t>will</w:t>
      </w:r>
      <w:r w:rsidRPr="00110F00">
        <w:rPr>
          <w:lang w:val="en-GB"/>
        </w:rPr>
        <w:t xml:space="preserve"> </w:t>
      </w:r>
      <w:r w:rsidR="00110F00" w:rsidRPr="00110F00">
        <w:rPr>
          <w:lang w:val="en-GB"/>
        </w:rPr>
        <w:t xml:space="preserve">need to </w:t>
      </w:r>
      <w:r w:rsidRPr="00110F00">
        <w:rPr>
          <w:lang w:val="en-GB"/>
        </w:rPr>
        <w:t xml:space="preserve">be established in </w:t>
      </w:r>
      <w:r w:rsidR="00B1051A" w:rsidRPr="00110F00">
        <w:rPr>
          <w:lang w:val="en-GB"/>
        </w:rPr>
        <w:t>the agri-food sector</w:t>
      </w:r>
      <w:r w:rsidRPr="00110F00">
        <w:rPr>
          <w:lang w:val="en-GB"/>
        </w:rPr>
        <w:t xml:space="preserve"> to address the remaining 15% share needed for target attainment. Research and advisory services are called upon here to </w:t>
      </w:r>
      <w:r w:rsidR="00110F00" w:rsidRPr="00110F00">
        <w:rPr>
          <w:lang w:val="en-GB"/>
        </w:rPr>
        <w:t xml:space="preserve">do </w:t>
      </w:r>
      <w:r w:rsidRPr="00110F00">
        <w:rPr>
          <w:lang w:val="en-GB"/>
        </w:rPr>
        <w:t>their utmost.</w:t>
      </w:r>
    </w:p>
    <w:p w14:paraId="4A48D962" w14:textId="74018496" w:rsidR="007A55AB" w:rsidRPr="00110F00" w:rsidRDefault="007A55AB" w:rsidP="002921FD">
      <w:pPr>
        <w:pStyle w:val="FiBLstandard"/>
        <w:rPr>
          <w:lang w:val="en-GB"/>
        </w:rPr>
      </w:pPr>
      <w:r w:rsidRPr="00110F00">
        <w:rPr>
          <w:lang w:val="en-GB"/>
        </w:rPr>
        <w:t xml:space="preserve">The preliminary study shows that carbon-neutral organic agriculture is achievable by 2040, but that this will involve major and new challenges and all stakeholders in the entire food system </w:t>
      </w:r>
      <w:r w:rsidR="00C94358" w:rsidRPr="00110F00">
        <w:rPr>
          <w:lang w:val="en-GB"/>
        </w:rPr>
        <w:t>will need to cooperate</w:t>
      </w:r>
      <w:r w:rsidRPr="00110F00">
        <w:rPr>
          <w:lang w:val="en-GB"/>
        </w:rPr>
        <w:t xml:space="preserve">. However, carbon-neutral organic agriculture also offers opportunities, </w:t>
      </w:r>
      <w:r w:rsidR="00B1051A" w:rsidRPr="00110F00">
        <w:rPr>
          <w:lang w:val="en-GB"/>
        </w:rPr>
        <w:t>as</w:t>
      </w:r>
      <w:r w:rsidRPr="00110F00">
        <w:rPr>
          <w:lang w:val="en-GB"/>
        </w:rPr>
        <w:t xml:space="preserve"> consistent climate change mitigation </w:t>
      </w:r>
      <w:r w:rsidR="00110F00" w:rsidRPr="00110F00">
        <w:rPr>
          <w:lang w:val="en-GB"/>
        </w:rPr>
        <w:t xml:space="preserve">boosts </w:t>
      </w:r>
      <w:r w:rsidRPr="00110F00">
        <w:rPr>
          <w:lang w:val="en-GB"/>
        </w:rPr>
        <w:t xml:space="preserve">consumer confidence in the food produced in this </w:t>
      </w:r>
      <w:r w:rsidR="00B1051A" w:rsidRPr="00110F00">
        <w:rPr>
          <w:lang w:val="en-GB"/>
        </w:rPr>
        <w:t>manner</w:t>
      </w:r>
      <w:r w:rsidRPr="00110F00">
        <w:rPr>
          <w:lang w:val="en-GB"/>
        </w:rPr>
        <w:t xml:space="preserve">. </w:t>
      </w:r>
      <w:r w:rsidR="00B1051A" w:rsidRPr="00110F00">
        <w:rPr>
          <w:lang w:val="en-GB"/>
        </w:rPr>
        <w:t>C</w:t>
      </w:r>
      <w:r w:rsidRPr="00110F00">
        <w:rPr>
          <w:lang w:val="en-GB"/>
        </w:rPr>
        <w:t>onsi</w:t>
      </w:r>
      <w:r w:rsidR="00B1051A" w:rsidRPr="00110F00">
        <w:rPr>
          <w:lang w:val="en-GB"/>
        </w:rPr>
        <w:t xml:space="preserve">stent climate </w:t>
      </w:r>
      <w:r w:rsidR="00110F00" w:rsidRPr="00110F00">
        <w:rPr>
          <w:lang w:val="en-GB"/>
        </w:rPr>
        <w:t xml:space="preserve">action </w:t>
      </w:r>
      <w:r w:rsidR="00B1051A" w:rsidRPr="00110F00">
        <w:rPr>
          <w:lang w:val="en-GB"/>
        </w:rPr>
        <w:t xml:space="preserve">will therefore contribute not only </w:t>
      </w:r>
      <w:r w:rsidR="00110F00" w:rsidRPr="00110F00">
        <w:rPr>
          <w:lang w:val="en-GB"/>
        </w:rPr>
        <w:t xml:space="preserve">to </w:t>
      </w:r>
      <w:r w:rsidR="00B1051A" w:rsidRPr="00110F00">
        <w:rPr>
          <w:lang w:val="en-GB"/>
        </w:rPr>
        <w:t>maintaining</w:t>
      </w:r>
      <w:r w:rsidRPr="00110F00">
        <w:rPr>
          <w:lang w:val="en-GB"/>
        </w:rPr>
        <w:t xml:space="preserve"> the added value in </w:t>
      </w:r>
      <w:r w:rsidR="00B1051A" w:rsidRPr="00110F00">
        <w:rPr>
          <w:lang w:val="en-GB"/>
        </w:rPr>
        <w:t xml:space="preserve">Swiss </w:t>
      </w:r>
      <w:r w:rsidRPr="00110F00">
        <w:rPr>
          <w:lang w:val="en-GB"/>
        </w:rPr>
        <w:t xml:space="preserve">organic </w:t>
      </w:r>
      <w:r w:rsidR="00B1051A" w:rsidRPr="00110F00">
        <w:rPr>
          <w:lang w:val="en-GB"/>
        </w:rPr>
        <w:t>farming</w:t>
      </w:r>
      <w:r w:rsidRPr="00110F00">
        <w:rPr>
          <w:lang w:val="en-GB"/>
        </w:rPr>
        <w:t xml:space="preserve">, but also </w:t>
      </w:r>
      <w:r w:rsidR="00B1051A" w:rsidRPr="00110F00">
        <w:rPr>
          <w:lang w:val="en-GB"/>
        </w:rPr>
        <w:t xml:space="preserve">to </w:t>
      </w:r>
      <w:r w:rsidRPr="00110F00">
        <w:rPr>
          <w:lang w:val="en-GB"/>
        </w:rPr>
        <w:t>continuously expand</w:t>
      </w:r>
      <w:r w:rsidR="00B1051A" w:rsidRPr="00110F00">
        <w:rPr>
          <w:lang w:val="en-GB"/>
        </w:rPr>
        <w:t>ing it</w:t>
      </w:r>
      <w:r w:rsidRPr="00110F00">
        <w:rPr>
          <w:lang w:val="en-GB"/>
        </w:rPr>
        <w:t>.</w:t>
      </w:r>
    </w:p>
    <w:sectPr w:rsidR="007A55AB" w:rsidRPr="00110F00" w:rsidSect="000F6EC5">
      <w:type w:val="continuous"/>
      <w:pgSz w:w="11906" w:h="16838" w:code="9"/>
      <w:pgMar w:top="1701" w:right="1701" w:bottom="2127"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D323" w14:textId="77777777" w:rsidR="00A24ADE" w:rsidRDefault="00A24ADE" w:rsidP="00F53AA9">
      <w:pPr>
        <w:spacing w:after="0" w:line="240" w:lineRule="auto"/>
      </w:pPr>
      <w:r>
        <w:separator/>
      </w:r>
    </w:p>
    <w:p w14:paraId="38F1D881" w14:textId="77777777" w:rsidR="00A24ADE" w:rsidRDefault="00A24ADE"/>
  </w:endnote>
  <w:endnote w:type="continuationSeparator" w:id="0">
    <w:p w14:paraId="289986F5" w14:textId="77777777" w:rsidR="00A24ADE" w:rsidRDefault="00A24ADE" w:rsidP="00F53AA9">
      <w:pPr>
        <w:spacing w:after="0" w:line="240" w:lineRule="auto"/>
      </w:pPr>
      <w:r>
        <w:continuationSeparator/>
      </w:r>
    </w:p>
    <w:p w14:paraId="24DB3CE6" w14:textId="77777777" w:rsidR="00A24ADE" w:rsidRDefault="00A24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14CD" w14:textId="29FF1291" w:rsidR="00497F53" w:rsidRPr="004A597B" w:rsidRDefault="00497F53" w:rsidP="00132A56">
    <w:pPr>
      <w:pStyle w:val="FiBLfusszeile"/>
    </w:pPr>
    <w:r w:rsidRPr="00442F27">
      <w:t xml:space="preserve">Research Institute </w:t>
    </w:r>
    <w:proofErr w:type="spellStart"/>
    <w:r w:rsidRPr="00442F27">
      <w:t>of</w:t>
    </w:r>
    <w:proofErr w:type="spellEnd"/>
    <w:r w:rsidRPr="00442F27">
      <w:t xml:space="preserve"> </w:t>
    </w:r>
    <w:proofErr w:type="spellStart"/>
    <w:r w:rsidRPr="00442F27">
      <w:t>Organic</w:t>
    </w:r>
    <w:proofErr w:type="spellEnd"/>
    <w:r w:rsidRPr="00442F27">
      <w:t xml:space="preserve"> </w:t>
    </w:r>
    <w:proofErr w:type="spellStart"/>
    <w:r w:rsidRPr="00442F27">
      <w:t>Agriculture</w:t>
    </w:r>
    <w:proofErr w:type="spellEnd"/>
    <w:r w:rsidRPr="00442F27">
      <w:t xml:space="preserve"> </w:t>
    </w:r>
    <w:r w:rsidRPr="004A597B">
      <w:t xml:space="preserve">FiBL | Ackerstrasse 113 | Postfach 219 </w:t>
    </w:r>
  </w:p>
  <w:p w14:paraId="456BC959" w14:textId="4B7A7633" w:rsidR="00497F53" w:rsidRPr="004A597B" w:rsidRDefault="00497F53" w:rsidP="00132A56">
    <w:pPr>
      <w:pStyle w:val="FiBLfusszeile"/>
    </w:pPr>
    <w:r>
      <w:t xml:space="preserve">5070 Frick | </w:t>
    </w:r>
    <w:proofErr w:type="spellStart"/>
    <w:r>
      <w:t>Switzerland</w:t>
    </w:r>
    <w:proofErr w:type="spellEnd"/>
    <w:r w:rsidRPr="004A597B">
      <w:t xml:space="preserve"> | </w:t>
    </w:r>
    <w:r>
      <w:t xml:space="preserve">Tel +41 </w:t>
    </w:r>
    <w:r w:rsidRPr="004A597B">
      <w:t xml:space="preserve">62 865 72 72 | </w:t>
    </w:r>
    <w:hyperlink r:id="rId1">
      <w:r w:rsidRPr="004A597B">
        <w:t xml:space="preserve">info.suisse@fibl.org </w:t>
      </w:r>
    </w:hyperlink>
    <w:r w:rsidRPr="004A597B">
      <w:t xml:space="preserve">| </w:t>
    </w:r>
    <w:hyperlink r:id="rId2">
      <w:r w:rsidRPr="004A597B">
        <w:t>www.fibl.org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497F53" w14:paraId="344969CD" w14:textId="77777777" w:rsidTr="004C42C1">
      <w:trPr>
        <w:trHeight w:val="422"/>
      </w:trPr>
      <w:tc>
        <w:tcPr>
          <w:tcW w:w="1716" w:type="dxa"/>
        </w:tcPr>
        <w:p w14:paraId="5A322CE6" w14:textId="77777777" w:rsidR="00497F53" w:rsidRPr="00F2360A" w:rsidRDefault="00497F53" w:rsidP="00F2360A">
          <w:pPr>
            <w:pStyle w:val="FiBLfusszeile"/>
          </w:pPr>
          <w:r w:rsidRPr="00F2360A">
            <w:rPr>
              <w:noProof/>
              <w:lang w:val="en-GB" w:eastAsia="en-GB"/>
            </w:rPr>
            <w:drawing>
              <wp:inline distT="0" distB="0" distL="0" distR="0" wp14:anchorId="1E8AFD99" wp14:editId="1E8AFD9A">
                <wp:extent cx="594995" cy="249472"/>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51F16200" w14:textId="36E4F3D8" w:rsidR="00497F53" w:rsidRPr="00005B6B" w:rsidRDefault="00C94358" w:rsidP="00C94358">
          <w:pPr>
            <w:pStyle w:val="FiBLfusszeile"/>
          </w:pPr>
          <w:proofErr w:type="spellStart"/>
          <w:r w:rsidRPr="00C94358">
            <w:t>Pathways</w:t>
          </w:r>
          <w:proofErr w:type="spellEnd"/>
          <w:r w:rsidRPr="00C94358">
            <w:t xml:space="preserve"> </w:t>
          </w:r>
          <w:proofErr w:type="spellStart"/>
          <w:r w:rsidRPr="00C94358">
            <w:t>to</w:t>
          </w:r>
          <w:proofErr w:type="spellEnd"/>
          <w:r w:rsidRPr="00C94358">
            <w:t xml:space="preserve"> </w:t>
          </w:r>
          <w:proofErr w:type="spellStart"/>
          <w:r w:rsidRPr="00C94358">
            <w:t>carbon</w:t>
          </w:r>
          <w:proofErr w:type="spellEnd"/>
          <w:r w:rsidRPr="00C94358">
            <w:t xml:space="preserve">-neutral </w:t>
          </w:r>
          <w:proofErr w:type="spellStart"/>
          <w:r w:rsidRPr="00C94358">
            <w:t>organic</w:t>
          </w:r>
          <w:proofErr w:type="spellEnd"/>
          <w:r w:rsidRPr="00C94358">
            <w:t xml:space="preserve"> </w:t>
          </w:r>
          <w:proofErr w:type="spellStart"/>
          <w:r w:rsidRPr="00C94358">
            <w:t>farming</w:t>
          </w:r>
          <w:proofErr w:type="spellEnd"/>
          <w:r w:rsidRPr="00C94358">
            <w:t xml:space="preserve"> in </w:t>
          </w:r>
          <w:proofErr w:type="spellStart"/>
          <w:r w:rsidRPr="00C94358">
            <w:t>Switzerland</w:t>
          </w:r>
          <w:proofErr w:type="spellEnd"/>
          <w:r w:rsidRPr="00C94358">
            <w:t xml:space="preserve"> </w:t>
          </w:r>
          <w:r w:rsidR="00497F53" w:rsidRPr="002921FD">
            <w:t xml:space="preserve">- </w:t>
          </w:r>
          <w:r>
            <w:t>Summary</w:t>
          </w:r>
        </w:p>
      </w:tc>
    </w:tr>
  </w:tbl>
  <w:p w14:paraId="7F6CA21A" w14:textId="77777777" w:rsidR="00497F53" w:rsidRDefault="00497F53" w:rsidP="0058360E">
    <w:pPr>
      <w:pStyle w:val="FiBLseitenzahl"/>
    </w:pPr>
  </w:p>
  <w:p w14:paraId="0593CE56" w14:textId="0965AC5F" w:rsidR="00497F53" w:rsidRPr="001F6AEB" w:rsidRDefault="00497F53" w:rsidP="001F6AEB">
    <w:pPr>
      <w:pStyle w:val="Kopfzeile"/>
      <w:tabs>
        <w:tab w:val="clear" w:pos="9072"/>
        <w:tab w:val="right" w:pos="7653"/>
      </w:tabs>
      <w:jc w:val="right"/>
      <w:rPr>
        <w:rFonts w:ascii="Gill Sans MT" w:hAnsi="Gill Sans MT"/>
        <w:sz w:val="20"/>
        <w:szCs w:val="20"/>
      </w:rPr>
    </w:pPr>
    <w:r w:rsidRPr="003A531A">
      <w:rPr>
        <w:rFonts w:ascii="Gill Sans MT" w:hAnsi="Gill Sans MT"/>
        <w:sz w:val="20"/>
        <w:szCs w:val="20"/>
      </w:rPr>
      <w:fldChar w:fldCharType="begin"/>
    </w:r>
    <w:r w:rsidRPr="003A531A">
      <w:rPr>
        <w:rFonts w:ascii="Gill Sans MT" w:hAnsi="Gill Sans MT"/>
        <w:sz w:val="20"/>
        <w:szCs w:val="20"/>
      </w:rPr>
      <w:instrText xml:space="preserve"> PAGE  \* Arabic  \* MERGEFORMAT </w:instrText>
    </w:r>
    <w:r w:rsidRPr="003A531A">
      <w:rPr>
        <w:rFonts w:ascii="Gill Sans MT" w:hAnsi="Gill Sans MT"/>
        <w:sz w:val="20"/>
        <w:szCs w:val="20"/>
      </w:rPr>
      <w:fldChar w:fldCharType="separate"/>
    </w:r>
    <w:r w:rsidR="00110F00">
      <w:rPr>
        <w:rFonts w:ascii="Gill Sans MT" w:hAnsi="Gill Sans MT"/>
        <w:noProof/>
        <w:sz w:val="20"/>
        <w:szCs w:val="20"/>
      </w:rPr>
      <w:t>2</w:t>
    </w:r>
    <w:r w:rsidRPr="003A531A">
      <w:rPr>
        <w:rFonts w:ascii="Gill Sans MT" w:hAnsi="Gill Sans MT"/>
        <w:sz w:val="20"/>
        <w:szCs w:val="20"/>
      </w:rPr>
      <w:fldChar w:fldCharType="end"/>
    </w:r>
    <w:r w:rsidRPr="003A531A">
      <w:rPr>
        <w:rFonts w:ascii="Gill Sans MT" w:hAnsi="Gill Sans MT"/>
        <w:sz w:val="20"/>
        <w:szCs w:val="20"/>
      </w:rPr>
      <w:t>/</w:t>
    </w:r>
    <w:r w:rsidRPr="003A531A">
      <w:rPr>
        <w:rFonts w:ascii="Gill Sans MT" w:hAnsi="Gill Sans MT"/>
        <w:noProof/>
        <w:sz w:val="20"/>
        <w:szCs w:val="20"/>
      </w:rPr>
      <w:fldChar w:fldCharType="begin"/>
    </w:r>
    <w:r w:rsidRPr="003A531A">
      <w:rPr>
        <w:rFonts w:ascii="Gill Sans MT" w:hAnsi="Gill Sans MT"/>
        <w:noProof/>
        <w:sz w:val="20"/>
        <w:szCs w:val="20"/>
      </w:rPr>
      <w:instrText xml:space="preserve"> NUMPAGES   \* MERGEFORMAT </w:instrText>
    </w:r>
    <w:r w:rsidRPr="003A531A">
      <w:rPr>
        <w:rFonts w:ascii="Gill Sans MT" w:hAnsi="Gill Sans MT"/>
        <w:noProof/>
        <w:sz w:val="20"/>
        <w:szCs w:val="20"/>
      </w:rPr>
      <w:fldChar w:fldCharType="separate"/>
    </w:r>
    <w:r w:rsidR="00110F00">
      <w:rPr>
        <w:rFonts w:ascii="Gill Sans MT" w:hAnsi="Gill Sans MT"/>
        <w:noProof/>
        <w:sz w:val="20"/>
        <w:szCs w:val="20"/>
      </w:rPr>
      <w:t>8</w:t>
    </w:r>
    <w:r w:rsidRPr="003A531A">
      <w:rPr>
        <w:rFonts w:ascii="Gill Sans MT" w:hAnsi="Gill Sans MT"/>
        <w:noProof/>
        <w:sz w:val="20"/>
        <w:szCs w:val="20"/>
      </w:rPr>
      <w:fldChar w:fldCharType="end"/>
    </w:r>
  </w:p>
  <w:p w14:paraId="1C00F8C2" w14:textId="77777777" w:rsidR="00497F53" w:rsidRDefault="00497F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735E" w14:textId="77777777" w:rsidR="00A24ADE" w:rsidRPr="00C56BE3" w:rsidRDefault="00A24ADE" w:rsidP="00C56BE3">
      <w:pPr>
        <w:pStyle w:val="Fuzeile"/>
        <w:rPr>
          <w:rFonts w:ascii="Palatino Linotype" w:hAnsi="Palatino Linotype"/>
          <w:sz w:val="10"/>
          <w:szCs w:val="10"/>
        </w:rPr>
      </w:pPr>
      <w:r>
        <w:separator/>
      </w:r>
    </w:p>
  </w:footnote>
  <w:footnote w:type="continuationSeparator" w:id="0">
    <w:p w14:paraId="00ABD6AC" w14:textId="77777777" w:rsidR="00A24ADE" w:rsidRDefault="00A24ADE" w:rsidP="00F53AA9">
      <w:pPr>
        <w:spacing w:after="0" w:line="240" w:lineRule="auto"/>
      </w:pPr>
      <w:r>
        <w:continuationSeparator/>
      </w:r>
    </w:p>
    <w:p w14:paraId="5B5725C0" w14:textId="77777777" w:rsidR="00A24ADE" w:rsidRPr="00A13620" w:rsidRDefault="00A24ADE">
      <w:pPr>
        <w:rPr>
          <w:rFonts w:ascii="Palatino Linotype" w:hAnsi="Palatino Linotype"/>
          <w:sz w:val="10"/>
          <w:szCs w:val="10"/>
        </w:rPr>
      </w:pPr>
    </w:p>
  </w:footnote>
  <w:footnote w:type="continuationNotice" w:id="1">
    <w:p w14:paraId="5353A30E" w14:textId="77777777" w:rsidR="00A24ADE" w:rsidRDefault="00A24ADE">
      <w:pPr>
        <w:spacing w:after="0" w:line="240" w:lineRule="auto"/>
      </w:pPr>
    </w:p>
  </w:footnote>
  <w:footnote w:id="2">
    <w:p w14:paraId="44EDA320" w14:textId="772D97EB" w:rsidR="00497F53" w:rsidRDefault="00497F53" w:rsidP="001E5B0D">
      <w:pPr>
        <w:pStyle w:val="FiBLfussnote"/>
        <w:keepLines/>
        <w:rPr>
          <w:sz w:val="18"/>
          <w:lang w:val="de-DE" w:eastAsia="en-US"/>
        </w:rPr>
      </w:pPr>
      <w:r>
        <w:rPr>
          <w:rStyle w:val="Funotenzeichen"/>
        </w:rPr>
        <w:footnoteRef/>
      </w:r>
      <w:r w:rsidR="00002452">
        <w:t xml:space="preserve"> </w:t>
      </w:r>
      <w:r w:rsidRPr="00442F27">
        <w:t xml:space="preserve"> </w:t>
      </w:r>
      <w:r w:rsidRPr="00442F27">
        <w:rPr>
          <w:sz w:val="18"/>
          <w:szCs w:val="18"/>
        </w:rPr>
        <w:t>CO</w:t>
      </w:r>
      <w:r w:rsidRPr="00442F27">
        <w:rPr>
          <w:sz w:val="18"/>
          <w:szCs w:val="18"/>
          <w:vertAlign w:val="subscript"/>
        </w:rPr>
        <w:t>2</w:t>
      </w:r>
      <w:r w:rsidRPr="00442F27">
        <w:rPr>
          <w:sz w:val="18"/>
          <w:szCs w:val="18"/>
        </w:rPr>
        <w:t xml:space="preserve"> </w:t>
      </w:r>
      <w:proofErr w:type="spellStart"/>
      <w:r w:rsidRPr="00442F27">
        <w:rPr>
          <w:sz w:val="18"/>
          <w:szCs w:val="18"/>
        </w:rPr>
        <w:t>equivalents</w:t>
      </w:r>
      <w:proofErr w:type="spellEnd"/>
      <w:r w:rsidRPr="00442F27">
        <w:rPr>
          <w:sz w:val="18"/>
          <w:szCs w:val="18"/>
        </w:rPr>
        <w:t xml:space="preserve"> (</w:t>
      </w:r>
      <w:proofErr w:type="spellStart"/>
      <w:r w:rsidRPr="00442F27">
        <w:rPr>
          <w:sz w:val="18"/>
          <w:szCs w:val="18"/>
        </w:rPr>
        <w:t>abbreviated</w:t>
      </w:r>
      <w:proofErr w:type="spellEnd"/>
      <w:r w:rsidRPr="00442F27">
        <w:rPr>
          <w:sz w:val="18"/>
          <w:szCs w:val="18"/>
        </w:rPr>
        <w:t xml:space="preserve"> </w:t>
      </w:r>
      <w:proofErr w:type="spellStart"/>
      <w:r w:rsidRPr="00442F27">
        <w:rPr>
          <w:sz w:val="18"/>
          <w:szCs w:val="18"/>
        </w:rPr>
        <w:t>to</w:t>
      </w:r>
      <w:proofErr w:type="spellEnd"/>
      <w:r w:rsidRPr="00442F27">
        <w:rPr>
          <w:sz w:val="18"/>
          <w:szCs w:val="18"/>
        </w:rPr>
        <w:t xml:space="preserve"> CO</w:t>
      </w:r>
      <w:r w:rsidRPr="00442F27">
        <w:rPr>
          <w:sz w:val="18"/>
          <w:szCs w:val="18"/>
          <w:vertAlign w:val="subscript"/>
        </w:rPr>
        <w:t>2</w:t>
      </w:r>
      <w:r w:rsidR="000F0F7F">
        <w:rPr>
          <w:sz w:val="18"/>
          <w:szCs w:val="18"/>
        </w:rPr>
        <w:t>-</w:t>
      </w:r>
      <w:r w:rsidRPr="00442F27">
        <w:rPr>
          <w:sz w:val="18"/>
          <w:szCs w:val="18"/>
        </w:rPr>
        <w:t>eq.): The different GHGs CO</w:t>
      </w:r>
      <w:r w:rsidRPr="00442F27">
        <w:rPr>
          <w:sz w:val="18"/>
          <w:szCs w:val="18"/>
          <w:vertAlign w:val="subscript"/>
        </w:rPr>
        <w:t>2</w:t>
      </w:r>
      <w:r w:rsidRPr="00442F27">
        <w:rPr>
          <w:sz w:val="18"/>
          <w:szCs w:val="18"/>
        </w:rPr>
        <w:t>, CH</w:t>
      </w:r>
      <w:r w:rsidRPr="00442F27">
        <w:rPr>
          <w:sz w:val="18"/>
          <w:szCs w:val="18"/>
          <w:vertAlign w:val="subscript"/>
        </w:rPr>
        <w:t>4</w:t>
      </w:r>
      <w:r w:rsidRPr="00442F27">
        <w:rPr>
          <w:sz w:val="18"/>
          <w:szCs w:val="18"/>
        </w:rPr>
        <w:t xml:space="preserve"> and N</w:t>
      </w:r>
      <w:r w:rsidRPr="00442F27">
        <w:rPr>
          <w:sz w:val="18"/>
          <w:szCs w:val="18"/>
          <w:vertAlign w:val="subscript"/>
        </w:rPr>
        <w:t>2</w:t>
      </w:r>
      <w:r w:rsidRPr="00442F27">
        <w:rPr>
          <w:sz w:val="18"/>
          <w:szCs w:val="18"/>
        </w:rPr>
        <w:t xml:space="preserve">O </w:t>
      </w:r>
      <w:proofErr w:type="spellStart"/>
      <w:r w:rsidRPr="00442F27">
        <w:rPr>
          <w:sz w:val="18"/>
          <w:szCs w:val="18"/>
        </w:rPr>
        <w:t>differ</w:t>
      </w:r>
      <w:proofErr w:type="spellEnd"/>
      <w:r>
        <w:rPr>
          <w:sz w:val="18"/>
          <w:szCs w:val="18"/>
        </w:rPr>
        <w:t xml:space="preserve"> in </w:t>
      </w:r>
      <w:proofErr w:type="spellStart"/>
      <w:r>
        <w:rPr>
          <w:sz w:val="18"/>
          <w:szCs w:val="18"/>
        </w:rPr>
        <w:t>their</w:t>
      </w:r>
      <w:proofErr w:type="spellEnd"/>
      <w:r w:rsidRPr="00442F27">
        <w:rPr>
          <w:sz w:val="18"/>
          <w:szCs w:val="18"/>
        </w:rPr>
        <w:t xml:space="preserve"> </w:t>
      </w:r>
      <w:proofErr w:type="spellStart"/>
      <w:r w:rsidRPr="00442F27">
        <w:rPr>
          <w:sz w:val="18"/>
          <w:szCs w:val="18"/>
        </w:rPr>
        <w:t>warming</w:t>
      </w:r>
      <w:proofErr w:type="spellEnd"/>
      <w:r w:rsidRPr="00442F27">
        <w:rPr>
          <w:sz w:val="18"/>
          <w:szCs w:val="18"/>
        </w:rPr>
        <w:t xml:space="preserve"> </w:t>
      </w:r>
      <w:proofErr w:type="spellStart"/>
      <w:r w:rsidRPr="00442F27">
        <w:rPr>
          <w:sz w:val="18"/>
          <w:szCs w:val="18"/>
        </w:rPr>
        <w:t>potential</w:t>
      </w:r>
      <w:proofErr w:type="spellEnd"/>
      <w:r w:rsidRPr="00442F27">
        <w:rPr>
          <w:sz w:val="18"/>
          <w:szCs w:val="18"/>
        </w:rPr>
        <w:t xml:space="preserve">. In </w:t>
      </w:r>
      <w:proofErr w:type="spellStart"/>
      <w:r w:rsidRPr="00442F27">
        <w:rPr>
          <w:sz w:val="18"/>
          <w:szCs w:val="18"/>
        </w:rPr>
        <w:t>order</w:t>
      </w:r>
      <w:proofErr w:type="spellEnd"/>
      <w:r w:rsidRPr="00442F27">
        <w:rPr>
          <w:sz w:val="18"/>
          <w:szCs w:val="18"/>
        </w:rPr>
        <w:t xml:space="preserve"> </w:t>
      </w:r>
      <w:proofErr w:type="spellStart"/>
      <w:r w:rsidRPr="00442F27">
        <w:rPr>
          <w:sz w:val="18"/>
          <w:szCs w:val="18"/>
        </w:rPr>
        <w:t>to</w:t>
      </w:r>
      <w:proofErr w:type="spellEnd"/>
      <w:r w:rsidRPr="00442F27">
        <w:rPr>
          <w:sz w:val="18"/>
          <w:szCs w:val="18"/>
        </w:rPr>
        <w:t xml:space="preserve"> </w:t>
      </w:r>
      <w:proofErr w:type="spellStart"/>
      <w:r w:rsidRPr="00442F27">
        <w:rPr>
          <w:sz w:val="18"/>
          <w:szCs w:val="18"/>
        </w:rPr>
        <w:t>compare</w:t>
      </w:r>
      <w:proofErr w:type="spellEnd"/>
      <w:r w:rsidRPr="00442F27">
        <w:rPr>
          <w:sz w:val="18"/>
          <w:szCs w:val="18"/>
        </w:rPr>
        <w:t xml:space="preserve"> </w:t>
      </w:r>
      <w:proofErr w:type="spellStart"/>
      <w:r w:rsidRPr="00442F27">
        <w:rPr>
          <w:sz w:val="18"/>
          <w:szCs w:val="18"/>
        </w:rPr>
        <w:t>the</w:t>
      </w:r>
      <w:proofErr w:type="spellEnd"/>
      <w:r w:rsidRPr="00442F27">
        <w:rPr>
          <w:sz w:val="18"/>
          <w:szCs w:val="18"/>
        </w:rPr>
        <w:t xml:space="preserve"> </w:t>
      </w:r>
      <w:proofErr w:type="spellStart"/>
      <w:r w:rsidR="00EA0FD0">
        <w:rPr>
          <w:sz w:val="18"/>
          <w:szCs w:val="18"/>
        </w:rPr>
        <w:t>radiative</w:t>
      </w:r>
      <w:proofErr w:type="spellEnd"/>
      <w:r w:rsidR="00EA0FD0">
        <w:rPr>
          <w:sz w:val="18"/>
          <w:szCs w:val="18"/>
        </w:rPr>
        <w:t xml:space="preserve"> </w:t>
      </w:r>
      <w:proofErr w:type="spellStart"/>
      <w:r w:rsidR="00EA0FD0">
        <w:rPr>
          <w:sz w:val="18"/>
          <w:szCs w:val="18"/>
        </w:rPr>
        <w:t>forcing</w:t>
      </w:r>
      <w:proofErr w:type="spellEnd"/>
      <w:r w:rsidRPr="00442F27">
        <w:rPr>
          <w:sz w:val="18"/>
          <w:szCs w:val="18"/>
        </w:rPr>
        <w:t xml:space="preserve"> </w:t>
      </w:r>
      <w:proofErr w:type="spellStart"/>
      <w:r w:rsidRPr="00442F27">
        <w:rPr>
          <w:sz w:val="18"/>
          <w:szCs w:val="18"/>
        </w:rPr>
        <w:t>of</w:t>
      </w:r>
      <w:proofErr w:type="spellEnd"/>
      <w:r w:rsidRPr="00442F27">
        <w:rPr>
          <w:sz w:val="18"/>
          <w:szCs w:val="18"/>
        </w:rPr>
        <w:t xml:space="preserve"> all GHGs and </w:t>
      </w:r>
      <w:proofErr w:type="spellStart"/>
      <w:r w:rsidRPr="00442F27">
        <w:rPr>
          <w:sz w:val="18"/>
          <w:szCs w:val="18"/>
        </w:rPr>
        <w:t>because</w:t>
      </w:r>
      <w:proofErr w:type="spellEnd"/>
      <w:r w:rsidRPr="00442F27">
        <w:rPr>
          <w:sz w:val="18"/>
          <w:szCs w:val="18"/>
        </w:rPr>
        <w:t xml:space="preserve"> CO</w:t>
      </w:r>
      <w:r w:rsidRPr="00442F27">
        <w:rPr>
          <w:sz w:val="18"/>
          <w:szCs w:val="18"/>
          <w:vertAlign w:val="subscript"/>
        </w:rPr>
        <w:t>2</w:t>
      </w:r>
      <w:r w:rsidRPr="00442F27">
        <w:rPr>
          <w:sz w:val="18"/>
          <w:szCs w:val="18"/>
        </w:rPr>
        <w:t xml:space="preserve"> </w:t>
      </w:r>
      <w:proofErr w:type="spellStart"/>
      <w:r w:rsidRPr="00442F27">
        <w:rPr>
          <w:sz w:val="18"/>
          <w:szCs w:val="18"/>
        </w:rPr>
        <w:t>is</w:t>
      </w:r>
      <w:proofErr w:type="spellEnd"/>
      <w:r w:rsidRPr="00442F27">
        <w:rPr>
          <w:sz w:val="18"/>
          <w:szCs w:val="18"/>
        </w:rPr>
        <w:t xml:space="preserve"> </w:t>
      </w:r>
      <w:proofErr w:type="spellStart"/>
      <w:r w:rsidRPr="00442F27">
        <w:rPr>
          <w:sz w:val="18"/>
          <w:szCs w:val="18"/>
        </w:rPr>
        <w:t>by</w:t>
      </w:r>
      <w:proofErr w:type="spellEnd"/>
      <w:r w:rsidRPr="00442F27">
        <w:rPr>
          <w:sz w:val="18"/>
          <w:szCs w:val="18"/>
        </w:rPr>
        <w:t xml:space="preserve"> </w:t>
      </w:r>
      <w:proofErr w:type="spellStart"/>
      <w:r w:rsidRPr="00442F27">
        <w:rPr>
          <w:sz w:val="18"/>
          <w:szCs w:val="18"/>
        </w:rPr>
        <w:t>far</w:t>
      </w:r>
      <w:proofErr w:type="spellEnd"/>
      <w:r w:rsidRPr="00442F27">
        <w:rPr>
          <w:sz w:val="18"/>
          <w:szCs w:val="18"/>
        </w:rPr>
        <w:t xml:space="preserve"> </w:t>
      </w:r>
      <w:proofErr w:type="spellStart"/>
      <w:r w:rsidRPr="00442F27">
        <w:rPr>
          <w:sz w:val="18"/>
          <w:szCs w:val="18"/>
        </w:rPr>
        <w:t>the</w:t>
      </w:r>
      <w:proofErr w:type="spellEnd"/>
      <w:r w:rsidRPr="00442F27">
        <w:rPr>
          <w:sz w:val="18"/>
          <w:szCs w:val="18"/>
        </w:rPr>
        <w:t xml:space="preserve"> </w:t>
      </w:r>
      <w:proofErr w:type="spellStart"/>
      <w:r w:rsidRPr="00442F27">
        <w:rPr>
          <w:sz w:val="18"/>
          <w:szCs w:val="18"/>
        </w:rPr>
        <w:t>most</w:t>
      </w:r>
      <w:proofErr w:type="spellEnd"/>
      <w:r w:rsidRPr="00442F27">
        <w:rPr>
          <w:sz w:val="18"/>
          <w:szCs w:val="18"/>
        </w:rPr>
        <w:t xml:space="preserve"> </w:t>
      </w:r>
      <w:proofErr w:type="spellStart"/>
      <w:r w:rsidRPr="00442F27">
        <w:rPr>
          <w:sz w:val="18"/>
          <w:szCs w:val="18"/>
        </w:rPr>
        <w:t>important</w:t>
      </w:r>
      <w:proofErr w:type="spellEnd"/>
      <w:r w:rsidRPr="00442F27">
        <w:rPr>
          <w:sz w:val="18"/>
          <w:szCs w:val="18"/>
        </w:rPr>
        <w:t xml:space="preserve"> GHG </w:t>
      </w:r>
      <w:proofErr w:type="spellStart"/>
      <w:r w:rsidRPr="00442F27">
        <w:rPr>
          <w:sz w:val="18"/>
          <w:szCs w:val="18"/>
        </w:rPr>
        <w:t>across</w:t>
      </w:r>
      <w:proofErr w:type="spellEnd"/>
      <w:r w:rsidRPr="00442F27">
        <w:rPr>
          <w:sz w:val="18"/>
          <w:szCs w:val="18"/>
        </w:rPr>
        <w:t xml:space="preserve"> all </w:t>
      </w:r>
      <w:proofErr w:type="spellStart"/>
      <w:r w:rsidRPr="00442F27">
        <w:rPr>
          <w:sz w:val="18"/>
          <w:szCs w:val="18"/>
        </w:rPr>
        <w:t>sectors</w:t>
      </w:r>
      <w:proofErr w:type="spellEnd"/>
      <w:r w:rsidRPr="00442F27">
        <w:rPr>
          <w:sz w:val="18"/>
          <w:szCs w:val="18"/>
        </w:rPr>
        <w:t xml:space="preserve">, </w:t>
      </w:r>
      <w:proofErr w:type="spellStart"/>
      <w:r w:rsidRPr="00442F27">
        <w:rPr>
          <w:sz w:val="18"/>
          <w:szCs w:val="18"/>
        </w:rPr>
        <w:t>its</w:t>
      </w:r>
      <w:proofErr w:type="spellEnd"/>
      <w:r w:rsidRPr="00442F27">
        <w:rPr>
          <w:sz w:val="18"/>
          <w:szCs w:val="18"/>
        </w:rPr>
        <w:t xml:space="preserve"> potential </w:t>
      </w:r>
      <w:proofErr w:type="spellStart"/>
      <w:r w:rsidRPr="00442F27">
        <w:rPr>
          <w:sz w:val="18"/>
          <w:szCs w:val="18"/>
        </w:rPr>
        <w:t>is</w:t>
      </w:r>
      <w:proofErr w:type="spellEnd"/>
      <w:r w:rsidRPr="00442F27">
        <w:rPr>
          <w:sz w:val="18"/>
          <w:szCs w:val="18"/>
        </w:rPr>
        <w:t xml:space="preserve"> </w:t>
      </w:r>
      <w:proofErr w:type="spellStart"/>
      <w:r w:rsidRPr="00442F27">
        <w:rPr>
          <w:sz w:val="18"/>
          <w:szCs w:val="18"/>
        </w:rPr>
        <w:t>set</w:t>
      </w:r>
      <w:proofErr w:type="spellEnd"/>
      <w:r w:rsidRPr="00442F27">
        <w:rPr>
          <w:sz w:val="18"/>
          <w:szCs w:val="18"/>
        </w:rPr>
        <w:t xml:space="preserve"> </w:t>
      </w:r>
      <w:proofErr w:type="spellStart"/>
      <w:r w:rsidRPr="00442F27">
        <w:rPr>
          <w:sz w:val="18"/>
          <w:szCs w:val="18"/>
        </w:rPr>
        <w:t>equal</w:t>
      </w:r>
      <w:proofErr w:type="spellEnd"/>
      <w:r w:rsidRPr="00442F27">
        <w:rPr>
          <w:sz w:val="18"/>
          <w:szCs w:val="18"/>
        </w:rPr>
        <w:t xml:space="preserve"> </w:t>
      </w:r>
      <w:proofErr w:type="spellStart"/>
      <w:r w:rsidRPr="00442F27">
        <w:rPr>
          <w:sz w:val="18"/>
          <w:szCs w:val="18"/>
        </w:rPr>
        <w:t>to</w:t>
      </w:r>
      <w:proofErr w:type="spellEnd"/>
      <w:r w:rsidRPr="00442F27">
        <w:rPr>
          <w:sz w:val="18"/>
          <w:szCs w:val="18"/>
        </w:rPr>
        <w:t xml:space="preserve"> 1. </w:t>
      </w:r>
      <w:proofErr w:type="spellStart"/>
      <w:r w:rsidRPr="00442F27">
        <w:rPr>
          <w:sz w:val="18"/>
          <w:szCs w:val="18"/>
        </w:rPr>
        <w:t>Accordingly</w:t>
      </w:r>
      <w:proofErr w:type="spellEnd"/>
      <w:r w:rsidRPr="00442F27">
        <w:rPr>
          <w:sz w:val="18"/>
          <w:szCs w:val="18"/>
        </w:rPr>
        <w:t>, CH</w:t>
      </w:r>
      <w:r w:rsidRPr="00442F27">
        <w:rPr>
          <w:sz w:val="18"/>
          <w:szCs w:val="18"/>
          <w:vertAlign w:val="subscript"/>
        </w:rPr>
        <w:t>4</w:t>
      </w:r>
      <w:r w:rsidRPr="00442F27">
        <w:rPr>
          <w:sz w:val="18"/>
          <w:szCs w:val="18"/>
        </w:rPr>
        <w:t xml:space="preserve"> </w:t>
      </w:r>
      <w:proofErr w:type="spellStart"/>
      <w:r w:rsidRPr="00442F27">
        <w:rPr>
          <w:sz w:val="18"/>
          <w:szCs w:val="18"/>
        </w:rPr>
        <w:t>has</w:t>
      </w:r>
      <w:proofErr w:type="spellEnd"/>
      <w:r w:rsidRPr="00442F27">
        <w:rPr>
          <w:sz w:val="18"/>
          <w:szCs w:val="18"/>
        </w:rPr>
        <w:t xml:space="preserve"> a 24-fold and N</w:t>
      </w:r>
      <w:r w:rsidRPr="00442F27">
        <w:rPr>
          <w:sz w:val="18"/>
          <w:szCs w:val="18"/>
          <w:vertAlign w:val="subscript"/>
        </w:rPr>
        <w:t>2</w:t>
      </w:r>
      <w:r w:rsidRPr="00442F27">
        <w:rPr>
          <w:sz w:val="18"/>
          <w:szCs w:val="18"/>
        </w:rPr>
        <w:t xml:space="preserve">O a 298-fold </w:t>
      </w:r>
      <w:proofErr w:type="spellStart"/>
      <w:r w:rsidRPr="00442F27">
        <w:rPr>
          <w:sz w:val="18"/>
          <w:szCs w:val="18"/>
        </w:rPr>
        <w:t>higher</w:t>
      </w:r>
      <w:proofErr w:type="spellEnd"/>
      <w:r w:rsidRPr="00442F27">
        <w:rPr>
          <w:sz w:val="18"/>
          <w:szCs w:val="18"/>
        </w:rPr>
        <w:t xml:space="preserve"> potential </w:t>
      </w:r>
      <w:proofErr w:type="spellStart"/>
      <w:r w:rsidRPr="00442F27">
        <w:rPr>
          <w:sz w:val="18"/>
          <w:szCs w:val="18"/>
        </w:rPr>
        <w:t>to</w:t>
      </w:r>
      <w:proofErr w:type="spellEnd"/>
      <w:r w:rsidRPr="00442F27">
        <w:rPr>
          <w:sz w:val="18"/>
          <w:szCs w:val="18"/>
        </w:rPr>
        <w:t xml:space="preserve"> warm </w:t>
      </w:r>
      <w:proofErr w:type="spellStart"/>
      <w:r w:rsidRPr="00442F27">
        <w:rPr>
          <w:sz w:val="18"/>
          <w:szCs w:val="18"/>
        </w:rPr>
        <w:t>the</w:t>
      </w:r>
      <w:proofErr w:type="spellEnd"/>
      <w:r w:rsidRPr="00442F27">
        <w:rPr>
          <w:sz w:val="18"/>
          <w:szCs w:val="18"/>
        </w:rPr>
        <w:t xml:space="preserve"> </w:t>
      </w:r>
      <w:proofErr w:type="spellStart"/>
      <w:r w:rsidRPr="00442F27">
        <w:rPr>
          <w:sz w:val="18"/>
          <w:szCs w:val="18"/>
        </w:rPr>
        <w:t>atmosphere</w:t>
      </w:r>
      <w:proofErr w:type="spellEnd"/>
      <w:r w:rsidRPr="00442F27">
        <w:rPr>
          <w:sz w:val="18"/>
          <w:szCs w:val="18"/>
        </w:rPr>
        <w:t xml:space="preserve"> </w:t>
      </w:r>
      <w:proofErr w:type="spellStart"/>
      <w:r w:rsidRPr="00442F27">
        <w:rPr>
          <w:sz w:val="18"/>
          <w:szCs w:val="18"/>
        </w:rPr>
        <w:t>than</w:t>
      </w:r>
      <w:proofErr w:type="spellEnd"/>
      <w:r w:rsidRPr="00442F27">
        <w:rPr>
          <w:sz w:val="18"/>
          <w:szCs w:val="18"/>
        </w:rPr>
        <w:t xml:space="preserve"> CO</w:t>
      </w:r>
      <w:r w:rsidRPr="00442F27">
        <w:rPr>
          <w:sz w:val="18"/>
          <w:szCs w:val="18"/>
          <w:vertAlign w:val="subscript"/>
        </w:rPr>
        <w:t>2</w:t>
      </w:r>
      <w:r w:rsidRPr="00442F27">
        <w:rPr>
          <w:sz w:val="18"/>
          <w:szCs w:val="18"/>
        </w:rPr>
        <w:t xml:space="preserve">. The different </w:t>
      </w:r>
      <w:proofErr w:type="spellStart"/>
      <w:r>
        <w:rPr>
          <w:sz w:val="18"/>
          <w:szCs w:val="18"/>
        </w:rPr>
        <w:t>atmospheric</w:t>
      </w:r>
      <w:proofErr w:type="spellEnd"/>
      <w:r>
        <w:rPr>
          <w:sz w:val="18"/>
          <w:szCs w:val="18"/>
        </w:rPr>
        <w:t xml:space="preserve"> </w:t>
      </w:r>
      <w:proofErr w:type="spellStart"/>
      <w:r w:rsidRPr="00442F27">
        <w:rPr>
          <w:sz w:val="18"/>
          <w:szCs w:val="18"/>
        </w:rPr>
        <w:t>lifetimes</w:t>
      </w:r>
      <w:proofErr w:type="spellEnd"/>
      <w:r w:rsidRPr="00442F27">
        <w:rPr>
          <w:sz w:val="18"/>
          <w:szCs w:val="18"/>
        </w:rPr>
        <w:t xml:space="preserve"> </w:t>
      </w:r>
      <w:proofErr w:type="spellStart"/>
      <w:r w:rsidRPr="00442F27">
        <w:rPr>
          <w:sz w:val="18"/>
          <w:szCs w:val="18"/>
        </w:rPr>
        <w:t>of</w:t>
      </w:r>
      <w:proofErr w:type="spellEnd"/>
      <w:r w:rsidRPr="00442F27">
        <w:rPr>
          <w:sz w:val="18"/>
          <w:szCs w:val="18"/>
        </w:rPr>
        <w:t xml:space="preserve"> GHGs </w:t>
      </w:r>
      <w:proofErr w:type="spellStart"/>
      <w:r w:rsidRPr="00442F27">
        <w:rPr>
          <w:sz w:val="18"/>
          <w:szCs w:val="18"/>
        </w:rPr>
        <w:t>are</w:t>
      </w:r>
      <w:proofErr w:type="spellEnd"/>
      <w:r w:rsidRPr="00442F27">
        <w:rPr>
          <w:sz w:val="18"/>
          <w:szCs w:val="18"/>
        </w:rPr>
        <w:t xml:space="preserve"> also </w:t>
      </w:r>
      <w:proofErr w:type="spellStart"/>
      <w:r w:rsidRPr="00442F27">
        <w:rPr>
          <w:sz w:val="18"/>
          <w:szCs w:val="18"/>
        </w:rPr>
        <w:t>taken</w:t>
      </w:r>
      <w:proofErr w:type="spellEnd"/>
      <w:r w:rsidRPr="00442F27">
        <w:rPr>
          <w:sz w:val="18"/>
          <w:szCs w:val="18"/>
        </w:rPr>
        <w:t xml:space="preserve"> </w:t>
      </w:r>
      <w:proofErr w:type="spellStart"/>
      <w:r w:rsidRPr="00442F27">
        <w:rPr>
          <w:sz w:val="18"/>
          <w:szCs w:val="18"/>
        </w:rPr>
        <w:t>into</w:t>
      </w:r>
      <w:proofErr w:type="spellEnd"/>
      <w:r w:rsidRPr="00442F27">
        <w:rPr>
          <w:sz w:val="18"/>
          <w:szCs w:val="18"/>
        </w:rPr>
        <w:t xml:space="preserve"> </w:t>
      </w:r>
      <w:proofErr w:type="spellStart"/>
      <w:r w:rsidRPr="00442F27">
        <w:rPr>
          <w:sz w:val="18"/>
          <w:szCs w:val="18"/>
        </w:rPr>
        <w:t>account</w:t>
      </w:r>
      <w:proofErr w:type="spellEnd"/>
      <w:r w:rsidRPr="00442F27">
        <w:rPr>
          <w:sz w:val="18"/>
          <w:szCs w:val="18"/>
        </w:rPr>
        <w:t xml:space="preserve"> in </w:t>
      </w:r>
      <w:proofErr w:type="spellStart"/>
      <w:r w:rsidRPr="00442F27">
        <w:rPr>
          <w:sz w:val="18"/>
          <w:szCs w:val="18"/>
        </w:rPr>
        <w:t>this</w:t>
      </w:r>
      <w:proofErr w:type="spellEnd"/>
      <w:r w:rsidRPr="00442F27">
        <w:rPr>
          <w:sz w:val="18"/>
          <w:szCs w:val="18"/>
        </w:rPr>
        <w:t xml:space="preserve"> </w:t>
      </w:r>
      <w:proofErr w:type="spellStart"/>
      <w:r w:rsidRPr="00442F27">
        <w:rPr>
          <w:sz w:val="18"/>
          <w:szCs w:val="18"/>
        </w:rPr>
        <w:t>calculation</w:t>
      </w:r>
      <w:proofErr w:type="spellEnd"/>
      <w:r w:rsidRPr="00442F27">
        <w:rPr>
          <w:sz w:val="18"/>
          <w:szCs w:val="18"/>
        </w:rPr>
        <w:t xml:space="preserve"> </w:t>
      </w:r>
      <w:proofErr w:type="spellStart"/>
      <w:r>
        <w:rPr>
          <w:sz w:val="18"/>
          <w:szCs w:val="18"/>
        </w:rPr>
        <w:t>of</w:t>
      </w:r>
      <w:proofErr w:type="spellEnd"/>
      <w:r>
        <w:rPr>
          <w:sz w:val="18"/>
          <w:szCs w:val="18"/>
        </w:rPr>
        <w:t xml:space="preserve"> </w:t>
      </w:r>
      <w:proofErr w:type="spellStart"/>
      <w:r w:rsidRPr="00442F27">
        <w:rPr>
          <w:sz w:val="18"/>
          <w:szCs w:val="18"/>
        </w:rPr>
        <w:t>potential</w:t>
      </w:r>
      <w:r>
        <w:rPr>
          <w:sz w:val="18"/>
          <w:szCs w:val="18"/>
        </w:rPr>
        <w:t>s</w:t>
      </w:r>
      <w:proofErr w:type="spellEnd"/>
      <w:r w:rsidRPr="00442F27">
        <w:rPr>
          <w:sz w:val="18"/>
          <w:szCs w:val="18"/>
        </w:rPr>
        <w:t>.</w:t>
      </w:r>
      <w:r w:rsidRPr="001730EE">
        <w:rPr>
          <w:sz w:val="18"/>
          <w:lang w:val="de-DE" w:eastAsia="en-US"/>
        </w:rPr>
        <w:t xml:space="preserve"> </w:t>
      </w:r>
    </w:p>
    <w:p w14:paraId="6B97E78E" w14:textId="610E9728" w:rsidR="00497F53" w:rsidRPr="00B5062D" w:rsidRDefault="00497F53" w:rsidP="00B5062D">
      <w:pPr>
        <w:pStyle w:val="FiB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page" w:tblpX="-444"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2"/>
    </w:tblGrid>
    <w:tr w:rsidR="00497F53" w14:paraId="5B7AE71A" w14:textId="77777777" w:rsidTr="001F43D7">
      <w:trPr>
        <w:trHeight w:val="559"/>
      </w:trPr>
      <w:tc>
        <w:tcPr>
          <w:tcW w:w="7522" w:type="dxa"/>
        </w:tcPr>
        <w:p w14:paraId="490838E1" w14:textId="77777777" w:rsidR="00497F53" w:rsidRPr="00635139" w:rsidRDefault="00497F53" w:rsidP="001F43D7">
          <w:pPr>
            <w:pStyle w:val="FiBLstandard"/>
          </w:pPr>
          <w:r w:rsidRPr="00635139">
            <w:rPr>
              <w:noProof/>
              <w:lang w:val="en-GB" w:eastAsia="en-GB"/>
            </w:rPr>
            <w:drawing>
              <wp:inline distT="0" distB="0" distL="0" distR="0" wp14:anchorId="1E8AFD97" wp14:editId="1E8AFD98">
                <wp:extent cx="859454" cy="36000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BL_Schwe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54" cy="360000"/>
                        </a:xfrm>
                        <a:prstGeom prst="rect">
                          <a:avLst/>
                        </a:prstGeom>
                      </pic:spPr>
                    </pic:pic>
                  </a:graphicData>
                </a:graphic>
              </wp:inline>
            </w:drawing>
          </w:r>
        </w:p>
      </w:tc>
    </w:tr>
  </w:tbl>
  <w:p w14:paraId="1500C8B5" w14:textId="77777777" w:rsidR="00497F53" w:rsidRPr="00D3325D" w:rsidRDefault="00497F53" w:rsidP="00D33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E591" w14:textId="77777777" w:rsidR="00497F53" w:rsidRPr="002A0CCC" w:rsidRDefault="00497F53" w:rsidP="002A0CCC">
    <w:pPr>
      <w:pStyle w:val="Kopfzeile"/>
    </w:pPr>
  </w:p>
  <w:p w14:paraId="2050F481" w14:textId="77777777" w:rsidR="00497F53" w:rsidRDefault="00497F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6D1"/>
    <w:multiLevelType w:val="hybridMultilevel"/>
    <w:tmpl w:val="EEF277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445B3B"/>
    <w:multiLevelType w:val="hybridMultilevel"/>
    <w:tmpl w:val="A35434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651272"/>
    <w:multiLevelType w:val="hybridMultilevel"/>
    <w:tmpl w:val="0FB63EC0"/>
    <w:lvl w:ilvl="0" w:tplc="44BC6AAE">
      <w:start w:val="14"/>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B32500"/>
    <w:multiLevelType w:val="hybridMultilevel"/>
    <w:tmpl w:val="27D09A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EB616B"/>
    <w:multiLevelType w:val="hybridMultilevel"/>
    <w:tmpl w:val="A2A2D10C"/>
    <w:lvl w:ilvl="0" w:tplc="439C39BA">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7" w15:restartNumberingAfterBreak="0">
    <w:nsid w:val="3D617464"/>
    <w:multiLevelType w:val="hybridMultilevel"/>
    <w:tmpl w:val="088C5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7DD4039"/>
    <w:multiLevelType w:val="multilevel"/>
    <w:tmpl w:val="227C7670"/>
    <w:lvl w:ilvl="0">
      <w:start w:val="1"/>
      <w:numFmt w:val="decimal"/>
      <w:pStyle w:val="FiBLberschrift1"/>
      <w:lvlText w:val="%1."/>
      <w:lvlJc w:val="left"/>
      <w:pPr>
        <w:ind w:left="432" w:hanging="432"/>
      </w:pPr>
      <w:rPr>
        <w:rFonts w:hint="default"/>
      </w:rPr>
    </w:lvl>
    <w:lvl w:ilvl="1">
      <w:start w:val="1"/>
      <w:numFmt w:val="decimal"/>
      <w:pStyle w:val="FiBLberschrift2"/>
      <w:lvlText w:val="%1.%2"/>
      <w:lvlJc w:val="left"/>
      <w:pPr>
        <w:ind w:left="576" w:hanging="576"/>
      </w:pPr>
      <w:rPr>
        <w:rFonts w:hint="default"/>
      </w:rPr>
    </w:lvl>
    <w:lvl w:ilvl="2">
      <w:start w:val="1"/>
      <w:numFmt w:val="decimal"/>
      <w:pStyle w:val="FiBLberschrift3"/>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887377F"/>
    <w:multiLevelType w:val="hybridMultilevel"/>
    <w:tmpl w:val="A09AD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2"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2"/>
  </w:num>
  <w:num w:numId="3">
    <w:abstractNumId w:val="8"/>
  </w:num>
  <w:num w:numId="4">
    <w:abstractNumId w:val="11"/>
  </w:num>
  <w:num w:numId="5">
    <w:abstractNumId w:val="5"/>
  </w:num>
  <w:num w:numId="6">
    <w:abstractNumId w:val="9"/>
  </w:num>
  <w:num w:numId="7">
    <w:abstractNumId w:val="14"/>
  </w:num>
  <w:num w:numId="8">
    <w:abstractNumId w:val="6"/>
  </w:num>
  <w:num w:numId="9">
    <w:abstractNumId w:val="12"/>
  </w:num>
  <w:num w:numId="10">
    <w:abstractNumId w:val="4"/>
  </w:num>
  <w:num w:numId="11">
    <w:abstractNumId w:val="0"/>
  </w:num>
  <w:num w:numId="12">
    <w:abstractNumId w:val="10"/>
  </w:num>
  <w:num w:numId="13">
    <w:abstractNumId w:val="3"/>
  </w:num>
  <w:num w:numId="14">
    <w:abstractNumId w:val="1"/>
  </w:num>
  <w:num w:numId="15">
    <w:abstractNumId w:val="7"/>
  </w:num>
  <w:num w:numId="16">
    <w:abstractNumId w:val="8"/>
    <w:lvlOverride w:ilvl="0">
      <w:startOverride w:val="1"/>
    </w:lvlOverride>
  </w:num>
  <w:num w:numId="17">
    <w:abstractNumId w:val="13"/>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ellenraster"/>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E47"/>
    <w:rsid w:val="00002452"/>
    <w:rsid w:val="00003CDF"/>
    <w:rsid w:val="00005B6B"/>
    <w:rsid w:val="0001122C"/>
    <w:rsid w:val="00017866"/>
    <w:rsid w:val="00022F95"/>
    <w:rsid w:val="00027000"/>
    <w:rsid w:val="00030057"/>
    <w:rsid w:val="00034B52"/>
    <w:rsid w:val="00044F5E"/>
    <w:rsid w:val="00050429"/>
    <w:rsid w:val="00050593"/>
    <w:rsid w:val="00057B56"/>
    <w:rsid w:val="00057FDF"/>
    <w:rsid w:val="00067685"/>
    <w:rsid w:val="00075EBB"/>
    <w:rsid w:val="00082F98"/>
    <w:rsid w:val="000830CC"/>
    <w:rsid w:val="00085E77"/>
    <w:rsid w:val="000906C8"/>
    <w:rsid w:val="000913ED"/>
    <w:rsid w:val="00091449"/>
    <w:rsid w:val="000925B1"/>
    <w:rsid w:val="000A34EE"/>
    <w:rsid w:val="000A5008"/>
    <w:rsid w:val="000B1410"/>
    <w:rsid w:val="000B5156"/>
    <w:rsid w:val="000E0988"/>
    <w:rsid w:val="000E704E"/>
    <w:rsid w:val="000F0F7F"/>
    <w:rsid w:val="000F1EEB"/>
    <w:rsid w:val="000F606D"/>
    <w:rsid w:val="000F6EC5"/>
    <w:rsid w:val="001050BE"/>
    <w:rsid w:val="00106DC2"/>
    <w:rsid w:val="00107221"/>
    <w:rsid w:val="00110F00"/>
    <w:rsid w:val="00114A6A"/>
    <w:rsid w:val="001265AA"/>
    <w:rsid w:val="00130784"/>
    <w:rsid w:val="001326FD"/>
    <w:rsid w:val="00132A56"/>
    <w:rsid w:val="00137628"/>
    <w:rsid w:val="0014140F"/>
    <w:rsid w:val="00142583"/>
    <w:rsid w:val="00142ADA"/>
    <w:rsid w:val="00150A4E"/>
    <w:rsid w:val="00157634"/>
    <w:rsid w:val="00160AFB"/>
    <w:rsid w:val="00162A80"/>
    <w:rsid w:val="00172F03"/>
    <w:rsid w:val="001730EE"/>
    <w:rsid w:val="001754A7"/>
    <w:rsid w:val="0017775C"/>
    <w:rsid w:val="0018434A"/>
    <w:rsid w:val="00187133"/>
    <w:rsid w:val="00187FB7"/>
    <w:rsid w:val="001A5511"/>
    <w:rsid w:val="001B00DA"/>
    <w:rsid w:val="001D384F"/>
    <w:rsid w:val="001E5B0D"/>
    <w:rsid w:val="001E5CC0"/>
    <w:rsid w:val="001F2A31"/>
    <w:rsid w:val="001F2D90"/>
    <w:rsid w:val="001F43D7"/>
    <w:rsid w:val="001F5EC9"/>
    <w:rsid w:val="001F6AEB"/>
    <w:rsid w:val="002060C5"/>
    <w:rsid w:val="00211862"/>
    <w:rsid w:val="00211D24"/>
    <w:rsid w:val="0022019E"/>
    <w:rsid w:val="0022639B"/>
    <w:rsid w:val="00234D4E"/>
    <w:rsid w:val="00243CD2"/>
    <w:rsid w:val="00256C83"/>
    <w:rsid w:val="00260C48"/>
    <w:rsid w:val="00275170"/>
    <w:rsid w:val="00280AB3"/>
    <w:rsid w:val="00287A7D"/>
    <w:rsid w:val="0029084C"/>
    <w:rsid w:val="002921FD"/>
    <w:rsid w:val="002925F1"/>
    <w:rsid w:val="00292FE8"/>
    <w:rsid w:val="002A0CCC"/>
    <w:rsid w:val="002A0EAE"/>
    <w:rsid w:val="002A2DA0"/>
    <w:rsid w:val="002A67BE"/>
    <w:rsid w:val="002B0E76"/>
    <w:rsid w:val="002B33BF"/>
    <w:rsid w:val="002C21C2"/>
    <w:rsid w:val="002C4163"/>
    <w:rsid w:val="002C45D4"/>
    <w:rsid w:val="002C4C51"/>
    <w:rsid w:val="002D40C0"/>
    <w:rsid w:val="002D6D05"/>
    <w:rsid w:val="002E7000"/>
    <w:rsid w:val="002F252E"/>
    <w:rsid w:val="00301BAF"/>
    <w:rsid w:val="003028E6"/>
    <w:rsid w:val="00323AD9"/>
    <w:rsid w:val="00325710"/>
    <w:rsid w:val="003260B8"/>
    <w:rsid w:val="00327CBB"/>
    <w:rsid w:val="00331099"/>
    <w:rsid w:val="003433FA"/>
    <w:rsid w:val="003504D3"/>
    <w:rsid w:val="003525E0"/>
    <w:rsid w:val="00360F48"/>
    <w:rsid w:val="0036404A"/>
    <w:rsid w:val="003706C6"/>
    <w:rsid w:val="00373672"/>
    <w:rsid w:val="003742DE"/>
    <w:rsid w:val="003744E7"/>
    <w:rsid w:val="003823FC"/>
    <w:rsid w:val="00391961"/>
    <w:rsid w:val="003959C5"/>
    <w:rsid w:val="003A1934"/>
    <w:rsid w:val="003A3703"/>
    <w:rsid w:val="003C3051"/>
    <w:rsid w:val="003C3397"/>
    <w:rsid w:val="003C481F"/>
    <w:rsid w:val="003C4F33"/>
    <w:rsid w:val="003C6700"/>
    <w:rsid w:val="003C6CCA"/>
    <w:rsid w:val="003D64B2"/>
    <w:rsid w:val="003E1F27"/>
    <w:rsid w:val="003F58F1"/>
    <w:rsid w:val="003F5DB9"/>
    <w:rsid w:val="00401A98"/>
    <w:rsid w:val="00422FF3"/>
    <w:rsid w:val="00434265"/>
    <w:rsid w:val="00442F27"/>
    <w:rsid w:val="004558D9"/>
    <w:rsid w:val="00474DFB"/>
    <w:rsid w:val="0048588E"/>
    <w:rsid w:val="0048723F"/>
    <w:rsid w:val="00492071"/>
    <w:rsid w:val="00493328"/>
    <w:rsid w:val="004942B0"/>
    <w:rsid w:val="00497F53"/>
    <w:rsid w:val="004A2AF2"/>
    <w:rsid w:val="004A3395"/>
    <w:rsid w:val="004A4423"/>
    <w:rsid w:val="004A597B"/>
    <w:rsid w:val="004A6D1D"/>
    <w:rsid w:val="004B163B"/>
    <w:rsid w:val="004B7D04"/>
    <w:rsid w:val="004C4067"/>
    <w:rsid w:val="004C42C1"/>
    <w:rsid w:val="004D1FE7"/>
    <w:rsid w:val="004D38D0"/>
    <w:rsid w:val="004D693E"/>
    <w:rsid w:val="004E7D70"/>
    <w:rsid w:val="004F0A50"/>
    <w:rsid w:val="004F0B07"/>
    <w:rsid w:val="00501CA3"/>
    <w:rsid w:val="0050439D"/>
    <w:rsid w:val="00504C67"/>
    <w:rsid w:val="00505C5F"/>
    <w:rsid w:val="00506742"/>
    <w:rsid w:val="00507140"/>
    <w:rsid w:val="00507B72"/>
    <w:rsid w:val="00513E2A"/>
    <w:rsid w:val="00521BCA"/>
    <w:rsid w:val="0053188F"/>
    <w:rsid w:val="00540DAE"/>
    <w:rsid w:val="0054650A"/>
    <w:rsid w:val="00546BC4"/>
    <w:rsid w:val="00556F72"/>
    <w:rsid w:val="00557E51"/>
    <w:rsid w:val="00560D1B"/>
    <w:rsid w:val="005661D1"/>
    <w:rsid w:val="0057094A"/>
    <w:rsid w:val="00582AE3"/>
    <w:rsid w:val="0058360E"/>
    <w:rsid w:val="0059401F"/>
    <w:rsid w:val="00594DB4"/>
    <w:rsid w:val="0059702E"/>
    <w:rsid w:val="005A1093"/>
    <w:rsid w:val="005A4956"/>
    <w:rsid w:val="005B08B1"/>
    <w:rsid w:val="005B4C01"/>
    <w:rsid w:val="005B534E"/>
    <w:rsid w:val="005C0B8E"/>
    <w:rsid w:val="005C23BC"/>
    <w:rsid w:val="005C782B"/>
    <w:rsid w:val="005D4908"/>
    <w:rsid w:val="005D7137"/>
    <w:rsid w:val="005D728C"/>
    <w:rsid w:val="005E186F"/>
    <w:rsid w:val="005E2D2F"/>
    <w:rsid w:val="005F4D32"/>
    <w:rsid w:val="005F5927"/>
    <w:rsid w:val="006072C6"/>
    <w:rsid w:val="00614CD4"/>
    <w:rsid w:val="00626084"/>
    <w:rsid w:val="00635139"/>
    <w:rsid w:val="00637E47"/>
    <w:rsid w:val="006410F4"/>
    <w:rsid w:val="00641FB6"/>
    <w:rsid w:val="00645667"/>
    <w:rsid w:val="0064767A"/>
    <w:rsid w:val="006520FD"/>
    <w:rsid w:val="006526FA"/>
    <w:rsid w:val="00656042"/>
    <w:rsid w:val="00660725"/>
    <w:rsid w:val="006607DA"/>
    <w:rsid w:val="006626EC"/>
    <w:rsid w:val="00674CD2"/>
    <w:rsid w:val="00675EB5"/>
    <w:rsid w:val="00684C28"/>
    <w:rsid w:val="00685CB3"/>
    <w:rsid w:val="00694B9E"/>
    <w:rsid w:val="00695811"/>
    <w:rsid w:val="006A2C71"/>
    <w:rsid w:val="006C0839"/>
    <w:rsid w:val="006C103B"/>
    <w:rsid w:val="006C4D19"/>
    <w:rsid w:val="006D3817"/>
    <w:rsid w:val="006D50D1"/>
    <w:rsid w:val="006E612A"/>
    <w:rsid w:val="006E6E34"/>
    <w:rsid w:val="006E79BE"/>
    <w:rsid w:val="006F1412"/>
    <w:rsid w:val="006F327D"/>
    <w:rsid w:val="006F386B"/>
    <w:rsid w:val="006F6229"/>
    <w:rsid w:val="006F6E08"/>
    <w:rsid w:val="006F741E"/>
    <w:rsid w:val="007015D6"/>
    <w:rsid w:val="007037E7"/>
    <w:rsid w:val="00717769"/>
    <w:rsid w:val="00725651"/>
    <w:rsid w:val="007364F5"/>
    <w:rsid w:val="0074260D"/>
    <w:rsid w:val="0074602A"/>
    <w:rsid w:val="00754508"/>
    <w:rsid w:val="0076097E"/>
    <w:rsid w:val="007644AA"/>
    <w:rsid w:val="00764841"/>
    <w:rsid w:val="00764D69"/>
    <w:rsid w:val="00764E69"/>
    <w:rsid w:val="00780789"/>
    <w:rsid w:val="00793238"/>
    <w:rsid w:val="007A051D"/>
    <w:rsid w:val="007A0D20"/>
    <w:rsid w:val="007A1A4D"/>
    <w:rsid w:val="007A1B3F"/>
    <w:rsid w:val="007A55AB"/>
    <w:rsid w:val="007A7AA0"/>
    <w:rsid w:val="007B2437"/>
    <w:rsid w:val="007B5F07"/>
    <w:rsid w:val="007C064B"/>
    <w:rsid w:val="007C48AC"/>
    <w:rsid w:val="007D1C25"/>
    <w:rsid w:val="007D514C"/>
    <w:rsid w:val="007E0DEB"/>
    <w:rsid w:val="007E3F22"/>
    <w:rsid w:val="007E66EA"/>
    <w:rsid w:val="007F2F2A"/>
    <w:rsid w:val="00814ABC"/>
    <w:rsid w:val="008171D9"/>
    <w:rsid w:val="00823167"/>
    <w:rsid w:val="008267F6"/>
    <w:rsid w:val="00834825"/>
    <w:rsid w:val="00842B72"/>
    <w:rsid w:val="0084783C"/>
    <w:rsid w:val="008613DC"/>
    <w:rsid w:val="00862B9D"/>
    <w:rsid w:val="0086327D"/>
    <w:rsid w:val="0086453D"/>
    <w:rsid w:val="008661D6"/>
    <w:rsid w:val="00872371"/>
    <w:rsid w:val="00873423"/>
    <w:rsid w:val="0087536F"/>
    <w:rsid w:val="00875AD5"/>
    <w:rsid w:val="00882C73"/>
    <w:rsid w:val="008976E3"/>
    <w:rsid w:val="008C6F44"/>
    <w:rsid w:val="008D166A"/>
    <w:rsid w:val="008D48AD"/>
    <w:rsid w:val="008E7C02"/>
    <w:rsid w:val="008F0AA2"/>
    <w:rsid w:val="008F4410"/>
    <w:rsid w:val="008F5367"/>
    <w:rsid w:val="008F7A48"/>
    <w:rsid w:val="00904597"/>
    <w:rsid w:val="00905527"/>
    <w:rsid w:val="009109C1"/>
    <w:rsid w:val="0091290E"/>
    <w:rsid w:val="009272D9"/>
    <w:rsid w:val="00927F28"/>
    <w:rsid w:val="00931EBD"/>
    <w:rsid w:val="00934CC9"/>
    <w:rsid w:val="00944028"/>
    <w:rsid w:val="009441CC"/>
    <w:rsid w:val="0094582F"/>
    <w:rsid w:val="00962466"/>
    <w:rsid w:val="00963628"/>
    <w:rsid w:val="009669B5"/>
    <w:rsid w:val="00971452"/>
    <w:rsid w:val="00971708"/>
    <w:rsid w:val="009759CB"/>
    <w:rsid w:val="009832A7"/>
    <w:rsid w:val="00986F71"/>
    <w:rsid w:val="009A4744"/>
    <w:rsid w:val="009A5444"/>
    <w:rsid w:val="009B0393"/>
    <w:rsid w:val="009B32BF"/>
    <w:rsid w:val="009B4687"/>
    <w:rsid w:val="009B70AD"/>
    <w:rsid w:val="009C0B90"/>
    <w:rsid w:val="009C10E6"/>
    <w:rsid w:val="009C515C"/>
    <w:rsid w:val="009F3A19"/>
    <w:rsid w:val="009F49F4"/>
    <w:rsid w:val="009F6B19"/>
    <w:rsid w:val="009F78E7"/>
    <w:rsid w:val="00A033E7"/>
    <w:rsid w:val="00A135C6"/>
    <w:rsid w:val="00A13620"/>
    <w:rsid w:val="00A24ADE"/>
    <w:rsid w:val="00A34330"/>
    <w:rsid w:val="00A44A9D"/>
    <w:rsid w:val="00A55F84"/>
    <w:rsid w:val="00A57050"/>
    <w:rsid w:val="00A81D3E"/>
    <w:rsid w:val="00A81F09"/>
    <w:rsid w:val="00A82179"/>
    <w:rsid w:val="00A86575"/>
    <w:rsid w:val="00A913EE"/>
    <w:rsid w:val="00A9347A"/>
    <w:rsid w:val="00A976D2"/>
    <w:rsid w:val="00AA28E8"/>
    <w:rsid w:val="00AA295A"/>
    <w:rsid w:val="00AA4F84"/>
    <w:rsid w:val="00AB2E8A"/>
    <w:rsid w:val="00AB7DD2"/>
    <w:rsid w:val="00AC658B"/>
    <w:rsid w:val="00AC6ECD"/>
    <w:rsid w:val="00AC7BA9"/>
    <w:rsid w:val="00AD07E7"/>
    <w:rsid w:val="00AD7751"/>
    <w:rsid w:val="00AE2927"/>
    <w:rsid w:val="00AE569E"/>
    <w:rsid w:val="00AE5C0F"/>
    <w:rsid w:val="00B00C8E"/>
    <w:rsid w:val="00B0193A"/>
    <w:rsid w:val="00B01FD1"/>
    <w:rsid w:val="00B05E5E"/>
    <w:rsid w:val="00B070E3"/>
    <w:rsid w:val="00B1051A"/>
    <w:rsid w:val="00B114E6"/>
    <w:rsid w:val="00B135D0"/>
    <w:rsid w:val="00B14911"/>
    <w:rsid w:val="00B169A5"/>
    <w:rsid w:val="00B205E6"/>
    <w:rsid w:val="00B20FCF"/>
    <w:rsid w:val="00B3263A"/>
    <w:rsid w:val="00B32F44"/>
    <w:rsid w:val="00B3345A"/>
    <w:rsid w:val="00B419DF"/>
    <w:rsid w:val="00B5062D"/>
    <w:rsid w:val="00B6200F"/>
    <w:rsid w:val="00B62056"/>
    <w:rsid w:val="00B70F27"/>
    <w:rsid w:val="00B878F0"/>
    <w:rsid w:val="00B96CE7"/>
    <w:rsid w:val="00BB0157"/>
    <w:rsid w:val="00BB1082"/>
    <w:rsid w:val="00BB2F6B"/>
    <w:rsid w:val="00BB6309"/>
    <w:rsid w:val="00BC2586"/>
    <w:rsid w:val="00BE021F"/>
    <w:rsid w:val="00BE27B4"/>
    <w:rsid w:val="00BE57EF"/>
    <w:rsid w:val="00BE6F09"/>
    <w:rsid w:val="00BE70DB"/>
    <w:rsid w:val="00BF6B01"/>
    <w:rsid w:val="00BF7028"/>
    <w:rsid w:val="00C11136"/>
    <w:rsid w:val="00C14AA4"/>
    <w:rsid w:val="00C24B60"/>
    <w:rsid w:val="00C34154"/>
    <w:rsid w:val="00C40F05"/>
    <w:rsid w:val="00C543EA"/>
    <w:rsid w:val="00C555A1"/>
    <w:rsid w:val="00C56BE3"/>
    <w:rsid w:val="00C6354F"/>
    <w:rsid w:val="00C725B7"/>
    <w:rsid w:val="00C73E52"/>
    <w:rsid w:val="00C8019F"/>
    <w:rsid w:val="00C94358"/>
    <w:rsid w:val="00C94D26"/>
    <w:rsid w:val="00C95F60"/>
    <w:rsid w:val="00CC3092"/>
    <w:rsid w:val="00CD4857"/>
    <w:rsid w:val="00CE1D16"/>
    <w:rsid w:val="00CE7378"/>
    <w:rsid w:val="00CF56AA"/>
    <w:rsid w:val="00CF7113"/>
    <w:rsid w:val="00D0342F"/>
    <w:rsid w:val="00D058F1"/>
    <w:rsid w:val="00D15183"/>
    <w:rsid w:val="00D27609"/>
    <w:rsid w:val="00D3325D"/>
    <w:rsid w:val="00D36C9F"/>
    <w:rsid w:val="00D512CF"/>
    <w:rsid w:val="00D61EB5"/>
    <w:rsid w:val="00D62311"/>
    <w:rsid w:val="00D667A4"/>
    <w:rsid w:val="00D66ACA"/>
    <w:rsid w:val="00D710A7"/>
    <w:rsid w:val="00D712FD"/>
    <w:rsid w:val="00D72BEE"/>
    <w:rsid w:val="00D72ED3"/>
    <w:rsid w:val="00D758D0"/>
    <w:rsid w:val="00D7727C"/>
    <w:rsid w:val="00D833FA"/>
    <w:rsid w:val="00D91954"/>
    <w:rsid w:val="00DB4AC0"/>
    <w:rsid w:val="00DB5A52"/>
    <w:rsid w:val="00DC49C6"/>
    <w:rsid w:val="00DC6705"/>
    <w:rsid w:val="00DD0E21"/>
    <w:rsid w:val="00DD1934"/>
    <w:rsid w:val="00DD1F26"/>
    <w:rsid w:val="00E102FF"/>
    <w:rsid w:val="00E1140A"/>
    <w:rsid w:val="00E12F1C"/>
    <w:rsid w:val="00E21A5F"/>
    <w:rsid w:val="00E32B51"/>
    <w:rsid w:val="00E348BE"/>
    <w:rsid w:val="00E433A3"/>
    <w:rsid w:val="00E441FD"/>
    <w:rsid w:val="00E442F0"/>
    <w:rsid w:val="00E45FD4"/>
    <w:rsid w:val="00E62E0F"/>
    <w:rsid w:val="00E65C3F"/>
    <w:rsid w:val="00E73CD4"/>
    <w:rsid w:val="00E8625A"/>
    <w:rsid w:val="00E86DEB"/>
    <w:rsid w:val="00EA0FD0"/>
    <w:rsid w:val="00EA7891"/>
    <w:rsid w:val="00EB00C1"/>
    <w:rsid w:val="00EB783E"/>
    <w:rsid w:val="00EC0987"/>
    <w:rsid w:val="00EC4ECD"/>
    <w:rsid w:val="00ED00EB"/>
    <w:rsid w:val="00ED20E1"/>
    <w:rsid w:val="00ED2266"/>
    <w:rsid w:val="00ED2970"/>
    <w:rsid w:val="00ED456A"/>
    <w:rsid w:val="00ED6E1A"/>
    <w:rsid w:val="00EE0E79"/>
    <w:rsid w:val="00EE3962"/>
    <w:rsid w:val="00EE7D6D"/>
    <w:rsid w:val="00EF726D"/>
    <w:rsid w:val="00F000FF"/>
    <w:rsid w:val="00F01C15"/>
    <w:rsid w:val="00F12DA9"/>
    <w:rsid w:val="00F13605"/>
    <w:rsid w:val="00F165E6"/>
    <w:rsid w:val="00F166B1"/>
    <w:rsid w:val="00F2360A"/>
    <w:rsid w:val="00F246D0"/>
    <w:rsid w:val="00F33F68"/>
    <w:rsid w:val="00F379C8"/>
    <w:rsid w:val="00F43CCC"/>
    <w:rsid w:val="00F44CEA"/>
    <w:rsid w:val="00F45589"/>
    <w:rsid w:val="00F53AA9"/>
    <w:rsid w:val="00F567F2"/>
    <w:rsid w:val="00F57A1F"/>
    <w:rsid w:val="00F6012B"/>
    <w:rsid w:val="00F6097D"/>
    <w:rsid w:val="00F630AC"/>
    <w:rsid w:val="00F6745D"/>
    <w:rsid w:val="00F67D88"/>
    <w:rsid w:val="00F87621"/>
    <w:rsid w:val="00FA2E2B"/>
    <w:rsid w:val="00FA3313"/>
    <w:rsid w:val="00FA5065"/>
    <w:rsid w:val="00FB3A5C"/>
    <w:rsid w:val="00FB5A9D"/>
    <w:rsid w:val="00FB624C"/>
    <w:rsid w:val="00FC62B3"/>
    <w:rsid w:val="00FC7E08"/>
    <w:rsid w:val="00FD7FBE"/>
    <w:rsid w:val="00FE01B8"/>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C98ED"/>
  <w15:docId w15:val="{303EA23F-C2C3-42D5-9105-5E48F5B4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ED456A"/>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kopfzeile"/>
    <w:basedOn w:val="Standard"/>
    <w:link w:val="KopfzeileZchn"/>
    <w:uiPriority w:val="99"/>
    <w:rsid w:val="00F13605"/>
    <w:pPr>
      <w:tabs>
        <w:tab w:val="center" w:pos="4536"/>
        <w:tab w:val="right" w:pos="9072"/>
      </w:tabs>
      <w:spacing w:after="0" w:line="240" w:lineRule="auto"/>
    </w:pPr>
  </w:style>
  <w:style w:type="character" w:customStyle="1" w:styleId="KopfzeileZchn">
    <w:name w:val="Kopfzeile Zchn"/>
    <w:aliases w:val="FiBL_kopfzeile Zchn"/>
    <w:basedOn w:val="Absatz-Standardschriftart"/>
    <w:link w:val="Kopfzeile"/>
    <w:uiPriority w:val="99"/>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F67D88"/>
    <w:pPr>
      <w:spacing w:after="0" w:line="240" w:lineRule="auto"/>
    </w:pPr>
    <w:rPr>
      <w:rFonts w:ascii="Gill Sans MT" w:hAnsi="Gill Sans MT"/>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Pr>
  </w:style>
  <w:style w:type="paragraph" w:customStyle="1" w:styleId="FiBLstandard">
    <w:name w:val="FiBL_standard"/>
    <w:link w:val="FiBLstandardZchn"/>
    <w:qFormat/>
    <w:rsid w:val="00F67D8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20">
    <w:name w:val="FiBL_titel_20"/>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D058F1"/>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berschrift1"/>
    <w:next w:val="FiBLstandard"/>
    <w:qFormat/>
    <w:rsid w:val="0054650A"/>
    <w:pPr>
      <w:numPr>
        <w:numId w:val="6"/>
      </w:numPr>
      <w:spacing w:before="320" w:after="120" w:line="300" w:lineRule="atLeast"/>
    </w:pPr>
    <w:rPr>
      <w:rFonts w:ascii="Gill Sans MT" w:hAnsi="Gill Sans MT"/>
      <w:b/>
      <w:color w:val="auto"/>
      <w:sz w:val="28"/>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54650A"/>
    <w:pPr>
      <w:numPr>
        <w:ilvl w:val="1"/>
      </w:numPr>
      <w:spacing w:line="280" w:lineRule="atLeast"/>
      <w:ind w:left="862" w:hanging="862"/>
      <w:outlineLvl w:val="1"/>
    </w:pPr>
    <w:rPr>
      <w:sz w:val="24"/>
    </w:rPr>
  </w:style>
  <w:style w:type="paragraph" w:customStyle="1" w:styleId="FiBLberschrift3">
    <w:name w:val="FiBL_überschrift_3"/>
    <w:basedOn w:val="FiBLberschrift2"/>
    <w:qFormat/>
    <w:rsid w:val="0054650A"/>
    <w:pPr>
      <w:numPr>
        <w:ilvl w:val="2"/>
      </w:numPr>
      <w:ind w:left="862" w:hanging="862"/>
      <w:outlineLvl w:val="2"/>
    </w:pPr>
    <w:rPr>
      <w:sz w:val="22"/>
    </w:rPr>
  </w:style>
  <w:style w:type="paragraph" w:customStyle="1" w:styleId="FiBLfussnote">
    <w:name w:val="FiBL_fussnote"/>
    <w:basedOn w:val="FiBLstandard"/>
    <w:qFormat/>
    <w:rsid w:val="00256C83"/>
    <w:pPr>
      <w:spacing w:after="0" w:line="240" w:lineRule="auto"/>
    </w:pPr>
    <w:rPr>
      <w:sz w:val="20"/>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558D9"/>
    <w:pPr>
      <w:jc w:val="left"/>
    </w:pPr>
    <w:rPr>
      <w:rFonts w:ascii="Gill Sans MT" w:hAnsi="Gill Sans MT"/>
    </w:rPr>
  </w:style>
  <w:style w:type="table" w:customStyle="1" w:styleId="Listentabelle7farbigAkzent61">
    <w:name w:val="Listentabelle 7 farbig – Akzent 61"/>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9272D9"/>
    <w:pPr>
      <w:spacing w:after="0" w:line="240" w:lineRule="auto"/>
    </w:pPr>
    <w:rPr>
      <w:rFonts w:ascii="Gill Sans MT" w:hAnsi="Gill Sans MT"/>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08" w:type="dxa"/>
        <w:bottom w:w="108" w:type="dxa"/>
      </w:tblCellMar>
    </w:tblPr>
    <w:tcPr>
      <w:shd w:val="clear" w:color="auto" w:fill="E1EDF2"/>
    </w:tcPr>
  </w:style>
  <w:style w:type="table" w:customStyle="1" w:styleId="EinfacheTabelle51">
    <w:name w:val="Einfache Tabelle 51"/>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5C782B"/>
    <w:pPr>
      <w:spacing w:before="200" w:line="240" w:lineRule="auto"/>
      <w:jc w:val="left"/>
    </w:pPr>
    <w:rPr>
      <w:rFonts w:ascii="Gill Sans MT" w:hAnsi="Gill Sans MT"/>
      <w:b/>
    </w:rPr>
  </w:style>
  <w:style w:type="paragraph" w:customStyle="1" w:styleId="FiBLbildunterschrift">
    <w:name w:val="FiBL_bildunterschrift"/>
    <w:basedOn w:val="FiBLstandard"/>
    <w:next w:val="FiBLstandard"/>
    <w:qFormat/>
    <w:rsid w:val="000B1410"/>
    <w:pPr>
      <w:spacing w:before="120" w:after="200" w:line="240" w:lineRule="auto"/>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semiHidden/>
    <w:locked/>
    <w:rsid w:val="007364F5"/>
    <w:rPr>
      <w:color w:val="646464" w:themeColor="hyperlink"/>
      <w:u w:val="single"/>
    </w:rPr>
  </w:style>
  <w:style w:type="paragraph" w:customStyle="1" w:styleId="FiBLliteraturangabe">
    <w:name w:val="FiBL_literaturangabe"/>
    <w:basedOn w:val="FiBLstandard"/>
    <w:qFormat/>
    <w:rsid w:val="00256C83"/>
    <w:pPr>
      <w:spacing w:before="40" w:after="40" w:line="240" w:lineRule="auto"/>
      <w:ind w:left="425" w:hanging="425"/>
      <w:jc w:val="left"/>
    </w:pPr>
    <w:rPr>
      <w:sz w:val="20"/>
    </w:rPr>
  </w:style>
  <w:style w:type="paragraph" w:customStyle="1" w:styleId="FiBLerluterungaufzhlung">
    <w:name w:val="FiBL_erläuterung_aufzählung"/>
    <w:basedOn w:val="FiBLaufzhlungszeichen"/>
    <w:qFormat/>
    <w:rsid w:val="00F6012B"/>
    <w:pPr>
      <w:numPr>
        <w:numId w:val="8"/>
      </w:numPr>
      <w:pBdr>
        <w:top w:val="single" w:sz="48" w:space="1" w:color="E1EDF2"/>
        <w:left w:val="single" w:sz="48" w:space="4" w:color="E1EDF2"/>
        <w:bottom w:val="single" w:sz="48" w:space="1" w:color="E1EDF2"/>
        <w:right w:val="single" w:sz="48" w:space="4" w:color="E1EDF2"/>
      </w:pBdr>
      <w:shd w:val="clear" w:color="auto" w:fill="E1EDF2"/>
      <w:spacing w:line="240" w:lineRule="auto"/>
      <w:ind w:left="426" w:right="170" w:hanging="284"/>
    </w:pPr>
    <w:rPr>
      <w:rFonts w:ascii="Gill Sans MT" w:hAnsi="Gill Sans MT"/>
    </w:rPr>
  </w:style>
  <w:style w:type="paragraph" w:customStyle="1" w:styleId="FiBLerluterung">
    <w:name w:val="FiBL_erläuterung"/>
    <w:basedOn w:val="FiBLstandard"/>
    <w:qFormat/>
    <w:rsid w:val="00F6012B"/>
    <w:pPr>
      <w:pBdr>
        <w:top w:val="single" w:sz="48" w:space="1" w:color="E1EDF2"/>
        <w:left w:val="single" w:sz="48" w:space="4" w:color="E1EDF2"/>
        <w:bottom w:val="single" w:sz="48" w:space="1" w:color="E1EDF2"/>
        <w:right w:val="single" w:sz="48" w:space="4" w:color="E1EDF2"/>
      </w:pBdr>
      <w:shd w:val="clear" w:color="auto" w:fill="E1EDF2"/>
      <w:spacing w:line="240" w:lineRule="auto"/>
      <w:ind w:left="142" w:right="170"/>
      <w:jc w:val="left"/>
    </w:pPr>
    <w:rPr>
      <w:rFonts w:ascii="Gill Sans MT" w:hAnsi="Gill Sans MT"/>
    </w:rPr>
  </w:style>
  <w:style w:type="paragraph" w:customStyle="1" w:styleId="FiBLquelle">
    <w:name w:val="FiBL_quelle"/>
    <w:basedOn w:val="FiBLstandard"/>
    <w:next w:val="FiBLstandard"/>
    <w:qFormat/>
    <w:rsid w:val="00401A98"/>
    <w:pPr>
      <w:spacing w:before="120" w:after="200" w:line="240" w:lineRule="auto"/>
      <w:jc w:val="left"/>
    </w:pPr>
    <w:rPr>
      <w:rFonts w:ascii="Gill Sans MT" w:hAnsi="Gill Sans MT"/>
      <w:sz w:val="20"/>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paragraph" w:styleId="Beschriftung">
    <w:name w:val="caption"/>
    <w:basedOn w:val="FiBLtabelleberschrift"/>
    <w:next w:val="Standard"/>
    <w:uiPriority w:val="35"/>
    <w:semiHidden/>
    <w:qFormat/>
    <w:rsid w:val="00F379C8"/>
    <w:rPr>
      <w:iCs/>
      <w:szCs w:val="18"/>
    </w:rPr>
  </w:style>
  <w:style w:type="character" w:styleId="Kommentarzeichen">
    <w:name w:val="annotation reference"/>
    <w:basedOn w:val="Absatz-Standardschriftart"/>
    <w:uiPriority w:val="99"/>
    <w:semiHidden/>
    <w:unhideWhenUsed/>
    <w:rsid w:val="00764D69"/>
    <w:rPr>
      <w:sz w:val="16"/>
      <w:szCs w:val="16"/>
    </w:rPr>
  </w:style>
  <w:style w:type="paragraph" w:styleId="Kommentartext">
    <w:name w:val="annotation text"/>
    <w:basedOn w:val="FiBLstandard"/>
    <w:link w:val="KommentartextZchn"/>
    <w:uiPriority w:val="99"/>
    <w:unhideWhenUsed/>
    <w:rsid w:val="00764D69"/>
    <w:pPr>
      <w:spacing w:line="240" w:lineRule="auto"/>
    </w:pPr>
    <w:rPr>
      <w:sz w:val="20"/>
      <w:szCs w:val="20"/>
    </w:rPr>
  </w:style>
  <w:style w:type="character" w:customStyle="1" w:styleId="KommentartextZchn">
    <w:name w:val="Kommentartext Zchn"/>
    <w:basedOn w:val="Absatz-Standardschriftart"/>
    <w:link w:val="Kommentartext"/>
    <w:uiPriority w:val="99"/>
    <w:rsid w:val="00764D69"/>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764D69"/>
    <w:pPr>
      <w:spacing w:after="160"/>
      <w:jc w:val="left"/>
    </w:pPr>
    <w:rPr>
      <w:rFonts w:asciiTheme="minorHAnsi" w:hAnsiTheme="minorHAnsi"/>
      <w:b/>
      <w:bCs/>
    </w:rPr>
  </w:style>
  <w:style w:type="character" w:customStyle="1" w:styleId="KommentarthemaZchn">
    <w:name w:val="Kommentarthema Zchn"/>
    <w:basedOn w:val="KommentartextZchn"/>
    <w:link w:val="Kommentarthema"/>
    <w:uiPriority w:val="99"/>
    <w:semiHidden/>
    <w:rsid w:val="00764D69"/>
    <w:rPr>
      <w:rFonts w:ascii="Palatino Linotype" w:hAnsi="Palatino Linotype"/>
      <w:b/>
      <w:bCs/>
      <w:sz w:val="20"/>
      <w:szCs w:val="20"/>
    </w:rPr>
  </w:style>
  <w:style w:type="paragraph" w:styleId="Datum">
    <w:name w:val="Date"/>
    <w:basedOn w:val="Standard"/>
    <w:next w:val="Standard"/>
    <w:link w:val="DatumZchn"/>
    <w:uiPriority w:val="99"/>
    <w:semiHidden/>
    <w:unhideWhenUsed/>
    <w:rsid w:val="00AB7DD2"/>
  </w:style>
  <w:style w:type="character" w:customStyle="1" w:styleId="DatumZchn">
    <w:name w:val="Datum Zchn"/>
    <w:basedOn w:val="Absatz-Standardschriftart"/>
    <w:link w:val="Datum"/>
    <w:uiPriority w:val="99"/>
    <w:semiHidden/>
    <w:rsid w:val="00AB7DD2"/>
  </w:style>
  <w:style w:type="character" w:customStyle="1" w:styleId="FiBLstandardZchn">
    <w:name w:val="FiBL_standard Zchn"/>
    <w:basedOn w:val="Absatz-Standardschriftart"/>
    <w:link w:val="FiBLstandard"/>
    <w:rsid w:val="00AB7DD2"/>
    <w:rPr>
      <w:rFonts w:ascii="Palatino Linotype" w:hAnsi="Palatino Linotype"/>
    </w:rPr>
  </w:style>
  <w:style w:type="paragraph" w:styleId="Funotentext">
    <w:name w:val="footnote text"/>
    <w:basedOn w:val="Standard"/>
    <w:link w:val="FunotentextZchn"/>
    <w:uiPriority w:val="99"/>
    <w:semiHidden/>
    <w:unhideWhenUsed/>
    <w:rsid w:val="001730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30EE"/>
    <w:rPr>
      <w:sz w:val="20"/>
      <w:szCs w:val="20"/>
    </w:rPr>
  </w:style>
  <w:style w:type="paragraph" w:customStyle="1" w:styleId="FiBLmmlead">
    <w:name w:val="FiBL_mm_lead"/>
    <w:basedOn w:val="Standard"/>
    <w:next w:val="Standard"/>
    <w:qFormat/>
    <w:rsid w:val="008661D6"/>
    <w:pPr>
      <w:spacing w:after="200" w:line="280" w:lineRule="atLeast"/>
    </w:pPr>
    <w:rPr>
      <w:rFonts w:ascii="Gill Sans MT" w:hAnsi="Gill Sans MT"/>
      <w:b/>
    </w:rPr>
  </w:style>
  <w:style w:type="paragraph" w:styleId="berarbeitung">
    <w:name w:val="Revision"/>
    <w:hidden/>
    <w:uiPriority w:val="99"/>
    <w:semiHidden/>
    <w:rsid w:val="00C94D26"/>
    <w:pPr>
      <w:spacing w:after="0" w:line="240" w:lineRule="auto"/>
    </w:pPr>
  </w:style>
  <w:style w:type="paragraph" w:customStyle="1" w:styleId="FiBLmmaufzhlungszeichen">
    <w:name w:val="FiBL_mm_aufzählungszeichen"/>
    <w:basedOn w:val="Standard"/>
    <w:qFormat/>
    <w:rsid w:val="007A55AB"/>
    <w:pPr>
      <w:spacing w:after="120" w:line="280" w:lineRule="atLeast"/>
      <w:ind w:left="717" w:hanging="360"/>
    </w:pPr>
    <w:rPr>
      <w:rFonts w:ascii="Palatino Linotype" w:hAnsi="Palatino Linotype"/>
    </w:rPr>
  </w:style>
  <w:style w:type="paragraph" w:customStyle="1" w:styleId="FiBLmmaufzhlungszeichen2">
    <w:name w:val="FiBL_mm_aufzählungszeichen_2"/>
    <w:basedOn w:val="FiBLmmaufzhlungszeichen"/>
    <w:qFormat/>
    <w:rsid w:val="007A55AB"/>
    <w:pPr>
      <w:ind w:left="568" w:hanging="284"/>
    </w:pPr>
  </w:style>
  <w:style w:type="paragraph" w:customStyle="1" w:styleId="FiBLmmaufzhlungszeichen3">
    <w:name w:val="FiBL_mm_aufzählungszeichen_3"/>
    <w:basedOn w:val="FiBLmmaufzhlungszeichen"/>
    <w:qFormat/>
    <w:rsid w:val="007A55AB"/>
    <w:pPr>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3046">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1.BAS\AppData\Local\Temp\Einfacher_bericht_schweiz.dotx" TargetMode="External"/></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6763-66AD-426D-88B0-007C1CD4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CB72C-BABD-4809-ACE6-95B162C083FE}">
  <ds:schemaRefs>
    <ds:schemaRef ds:uri="http://schemas.microsoft.com/sharepoint/v3/contenttype/forms"/>
  </ds:schemaRefs>
</ds:datastoreItem>
</file>

<file path=customXml/itemProps3.xml><?xml version="1.0" encoding="utf-8"?>
<ds:datastoreItem xmlns:ds="http://schemas.openxmlformats.org/officeDocument/2006/customXml" ds:itemID="{066686C1-071B-4C84-90B8-4607F24D27C7}">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EDEC46B7-89CD-45AE-A024-5EEC6309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Einfacher_bericht_schweiz.dotx</Template>
  <TotalTime>0</TotalTime>
  <Pages>8</Pages>
  <Words>2428</Words>
  <Characters>15301</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Kurzbericht</vt:lpstr>
      <vt:lpstr>Kurzbericht</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dc:title>
  <dc:subject/>
  <dc:creator>Basler Andreas</dc:creator>
  <cp:keywords/>
  <dc:description/>
  <cp:lastModifiedBy>Bartsch Sofia</cp:lastModifiedBy>
  <cp:revision>20</cp:revision>
  <cp:lastPrinted>2022-05-13T09:11:00Z</cp:lastPrinted>
  <dcterms:created xsi:type="dcterms:W3CDTF">2022-03-16T13:26:00Z</dcterms:created>
  <dcterms:modified xsi:type="dcterms:W3CDTF">2022-05-13T09:11:00Z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